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F4BEBF">
      <w:pPr>
        <w:jc w:val="center"/>
        <w:rPr>
          <w:rFonts w:hint="eastAsia" w:ascii="仿宋_GB2312" w:hAnsi="仿宋_GB2312" w:eastAsia="仿宋_GB2312" w:cs="仿宋_GB2312"/>
          <w:b/>
          <w:sz w:val="32"/>
          <w:szCs w:val="32"/>
        </w:rPr>
      </w:pPr>
    </w:p>
    <w:p w14:paraId="7705A634">
      <w:pPr>
        <w:pStyle w:val="165"/>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仿宋_GB2312" w:hAnsi="仿宋_GB2312" w:eastAsia="仿宋_GB2312" w:cs="仿宋_GB2312"/>
          <w:b w:val="0"/>
          <w:bCs w:val="0"/>
          <w:sz w:val="36"/>
          <w:szCs w:val="36"/>
          <w:lang w:val="en-US" w:eastAsia="zh-CN"/>
        </w:rPr>
      </w:pPr>
      <w:r>
        <w:rPr>
          <w:rFonts w:hint="eastAsia" w:ascii="仿宋_GB2312" w:hAnsi="仿宋_GB2312" w:eastAsia="仿宋_GB2312" w:cs="仿宋_GB2312"/>
          <w:b w:val="0"/>
          <w:bCs w:val="0"/>
          <w:sz w:val="36"/>
          <w:szCs w:val="36"/>
          <w:lang w:val="en-US" w:eastAsia="zh-CN"/>
        </w:rPr>
        <w:t>附件1：</w:t>
      </w:r>
    </w:p>
    <w:p w14:paraId="7F692346">
      <w:pPr>
        <w:pStyle w:val="165"/>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sz w:val="36"/>
          <w:szCs w:val="36"/>
          <w:lang w:val="en-US" w:eastAsia="zh-CN"/>
        </w:rPr>
      </w:pPr>
    </w:p>
    <w:p w14:paraId="115BDA10">
      <w:pPr>
        <w:pStyle w:val="165"/>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sz w:val="36"/>
          <w:szCs w:val="36"/>
          <w:lang w:val="en-US" w:eastAsia="zh-CN"/>
        </w:rPr>
      </w:pPr>
      <w:bookmarkStart w:id="0" w:name="_GoBack"/>
      <w:r>
        <w:rPr>
          <w:rFonts w:hint="default" w:ascii="Times New Roman" w:hAnsi="Times New Roman" w:eastAsia="仿宋_GB2312" w:cs="Times New Roman"/>
          <w:b/>
          <w:bCs/>
          <w:sz w:val="36"/>
          <w:szCs w:val="36"/>
          <w:lang w:val="en-US" w:eastAsia="zh-CN"/>
        </w:rPr>
        <w:t>车辆租赁（临时租车）服务</w:t>
      </w:r>
      <w:r>
        <w:rPr>
          <w:rFonts w:hint="default" w:ascii="Times New Roman" w:hAnsi="Times New Roman" w:eastAsia="仿宋_GB2312" w:cs="Times New Roman"/>
          <w:b/>
          <w:bCs/>
          <w:kern w:val="0"/>
          <w:sz w:val="36"/>
          <w:szCs w:val="36"/>
        </w:rPr>
        <w:t>项目</w:t>
      </w:r>
      <w:r>
        <w:rPr>
          <w:rFonts w:hint="default" w:ascii="Times New Roman" w:hAnsi="Times New Roman" w:eastAsia="仿宋_GB2312" w:cs="Times New Roman"/>
          <w:b/>
          <w:bCs/>
          <w:sz w:val="36"/>
          <w:szCs w:val="36"/>
          <w:lang w:val="en-US" w:eastAsia="zh-CN"/>
        </w:rPr>
        <w:t>询比文件</w:t>
      </w:r>
    </w:p>
    <w:bookmarkEnd w:id="0"/>
    <w:p w14:paraId="4B784D32">
      <w:pPr>
        <w:pStyle w:val="165"/>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lang w:val="en-US" w:eastAsia="zh-CN"/>
        </w:rPr>
      </w:pPr>
    </w:p>
    <w:p w14:paraId="72CE2A7F">
      <w:pPr>
        <w:keepNext w:val="0"/>
        <w:keepLines w:val="0"/>
        <w:pageBreakBefore w:val="0"/>
        <w:widowControl/>
        <w:kinsoku/>
        <w:wordWrap/>
        <w:overflowPunct/>
        <w:topLinePunct w:val="0"/>
        <w:autoSpaceDE/>
        <w:autoSpaceDN/>
        <w:bidi w:val="0"/>
        <w:adjustRightInd/>
        <w:snapToGrid/>
        <w:spacing w:before="240" w:after="120"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广东省农业融资担保有限责任公司采取询比方式组织采购车辆租赁（临租）服务。</w:t>
      </w:r>
      <w:r>
        <w:rPr>
          <w:rFonts w:hint="default" w:ascii="Times New Roman" w:hAnsi="Times New Roman" w:eastAsia="仿宋_GB2312" w:cs="Times New Roman"/>
          <w:sz w:val="32"/>
          <w:szCs w:val="32"/>
        </w:rPr>
        <w:t>欢迎符合资格条件的</w:t>
      </w:r>
      <w:r>
        <w:rPr>
          <w:rFonts w:hint="default" w:ascii="Times New Roman" w:hAnsi="Times New Roman" w:eastAsia="仿宋_GB2312" w:cs="Times New Roman"/>
          <w:sz w:val="32"/>
          <w:szCs w:val="32"/>
          <w:lang w:val="en-US" w:eastAsia="zh-CN"/>
        </w:rPr>
        <w:t>国内</w:t>
      </w:r>
      <w:r>
        <w:rPr>
          <w:rFonts w:hint="default" w:ascii="Times New Roman" w:hAnsi="Times New Roman" w:eastAsia="仿宋_GB2312" w:cs="Times New Roman"/>
          <w:sz w:val="32"/>
          <w:szCs w:val="32"/>
        </w:rPr>
        <w:t>供应商参加。</w:t>
      </w:r>
    </w:p>
    <w:p w14:paraId="554960BF">
      <w:pPr>
        <w:keepNext w:val="0"/>
        <w:keepLines w:val="0"/>
        <w:pageBreakBefore w:val="0"/>
        <w:widowControl/>
        <w:kinsoku/>
        <w:wordWrap/>
        <w:overflowPunct/>
        <w:topLinePunct w:val="0"/>
        <w:autoSpaceDE/>
        <w:autoSpaceDN/>
        <w:bidi w:val="0"/>
        <w:adjustRightInd/>
        <w:snapToGrid/>
        <w:spacing w:before="240" w:after="120" w:line="520" w:lineRule="exact"/>
        <w:ind w:firstLine="643" w:firstLineChars="200"/>
        <w:textAlignment w:val="auto"/>
        <w:rPr>
          <w:rFonts w:hint="default" w:ascii="Times New Roman" w:hAnsi="Times New Roman" w:eastAsia="黑体" w:cs="Times New Roman"/>
          <w:b/>
          <w:sz w:val="32"/>
          <w:lang w:val="en-US" w:eastAsia="zh-CN"/>
        </w:rPr>
      </w:pPr>
      <w:r>
        <w:rPr>
          <w:rFonts w:hint="default" w:ascii="Times New Roman" w:hAnsi="Times New Roman" w:eastAsia="黑体" w:cs="Times New Roman"/>
          <w:b/>
          <w:sz w:val="32"/>
          <w:lang w:val="en-US" w:eastAsia="zh-CN"/>
        </w:rPr>
        <w:t>一</w:t>
      </w:r>
      <w:r>
        <w:rPr>
          <w:rFonts w:hint="default" w:ascii="Times New Roman" w:hAnsi="Times New Roman" w:eastAsia="黑体" w:cs="Times New Roman"/>
          <w:b/>
          <w:sz w:val="32"/>
        </w:rPr>
        <w:t>、供应商</w:t>
      </w:r>
      <w:r>
        <w:rPr>
          <w:rFonts w:hint="default" w:ascii="Times New Roman" w:hAnsi="Times New Roman" w:eastAsia="黑体" w:cs="Times New Roman"/>
          <w:b/>
          <w:sz w:val="32"/>
          <w:lang w:val="en-US" w:eastAsia="zh-CN"/>
        </w:rPr>
        <w:t>资格条件</w:t>
      </w:r>
    </w:p>
    <w:p w14:paraId="0F5B949D">
      <w:pPr>
        <w:keepNext w:val="0"/>
        <w:keepLines w:val="0"/>
        <w:pageBreakBefore w:val="0"/>
        <w:widowControl/>
        <w:kinsoku/>
        <w:wordWrap/>
        <w:overflowPunct/>
        <w:topLinePunct w:val="0"/>
        <w:autoSpaceDE/>
        <w:autoSpaceDN/>
        <w:bidi w:val="0"/>
        <w:adjustRightInd/>
        <w:snapToGrid/>
        <w:spacing w:before="240" w:after="120"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参加采购活动前3年内，在经营活动中没有重大违法记录。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450EAEB2">
      <w:pPr>
        <w:keepNext w:val="0"/>
        <w:keepLines w:val="0"/>
        <w:pageBreakBefore w:val="0"/>
        <w:widowControl/>
        <w:kinsoku/>
        <w:wordWrap/>
        <w:overflowPunct/>
        <w:topLinePunct w:val="0"/>
        <w:autoSpaceDE/>
        <w:autoSpaceDN/>
        <w:bidi w:val="0"/>
        <w:adjustRightInd/>
        <w:snapToGrid/>
        <w:spacing w:before="240" w:after="120"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cs="Times New Roman"/>
          <w:sz w:val="32"/>
          <w:szCs w:val="32"/>
          <w:lang w:val="en-US" w:eastAsia="zh-CN"/>
        </w:rPr>
        <w:t>2.</w:t>
      </w:r>
      <w:r>
        <w:rPr>
          <w:rFonts w:hint="default" w:ascii="Times New Roman" w:hAnsi="Times New Roman" w:eastAsia="仿宋_GB2312" w:cs="Times New Roman"/>
          <w:sz w:val="32"/>
          <w:szCs w:val="32"/>
        </w:rPr>
        <w:t>未被列入“信用中国”网站(www.creditchina.gov.cn)“记录失信被执行人或重大税收违法失信主体或政府采购严重违法失信行为”记录名单。</w:t>
      </w:r>
    </w:p>
    <w:p w14:paraId="5704764D">
      <w:pPr>
        <w:keepNext w:val="0"/>
        <w:keepLines w:val="0"/>
        <w:pageBreakBefore w:val="0"/>
        <w:widowControl/>
        <w:kinsoku/>
        <w:wordWrap/>
        <w:overflowPunct/>
        <w:topLinePunct w:val="0"/>
        <w:autoSpaceDE/>
        <w:autoSpaceDN/>
        <w:bidi w:val="0"/>
        <w:adjustRightInd/>
        <w:snapToGrid/>
        <w:spacing w:before="240" w:after="120" w:line="52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cs="Times New Roman"/>
          <w:sz w:val="32"/>
          <w:szCs w:val="32"/>
          <w:lang w:val="en-US" w:eastAsia="zh-CN"/>
        </w:rPr>
        <w:t>3</w:t>
      </w:r>
      <w:r>
        <w:rPr>
          <w:rFonts w:hint="default" w:ascii="Times New Roman" w:hAnsi="Times New Roman" w:eastAsia="仿宋_GB2312" w:cs="Times New Roman"/>
          <w:sz w:val="32"/>
          <w:szCs w:val="32"/>
        </w:rPr>
        <w:t>.具备有效的</w:t>
      </w:r>
      <w:r>
        <w:rPr>
          <w:rFonts w:hint="default" w:ascii="Times New Roman" w:hAnsi="Times New Roman" w:cs="Times New Roman"/>
          <w:sz w:val="32"/>
          <w:szCs w:val="32"/>
          <w:lang w:val="en-US" w:eastAsia="zh-CN"/>
        </w:rPr>
        <w:t>车辆</w:t>
      </w:r>
      <w:r>
        <w:rPr>
          <w:rFonts w:hint="default" w:ascii="Times New Roman" w:hAnsi="Times New Roman" w:eastAsia="仿宋_GB2312" w:cs="Times New Roman"/>
          <w:sz w:val="32"/>
          <w:szCs w:val="32"/>
        </w:rPr>
        <w:t>租赁经营备案证明</w:t>
      </w:r>
      <w:r>
        <w:rPr>
          <w:rFonts w:hint="default" w:ascii="Times New Roman" w:hAnsi="Times New Roman" w:eastAsia="仿宋_GB2312" w:cs="Times New Roman"/>
          <w:sz w:val="32"/>
          <w:szCs w:val="32"/>
          <w:lang w:eastAsia="zh-CN"/>
        </w:rPr>
        <w:t>。</w:t>
      </w:r>
    </w:p>
    <w:p w14:paraId="6BCD00B3">
      <w:pPr>
        <w:keepNext w:val="0"/>
        <w:keepLines w:val="0"/>
        <w:pageBreakBefore w:val="0"/>
        <w:widowControl/>
        <w:kinsoku/>
        <w:wordWrap/>
        <w:overflowPunct/>
        <w:topLinePunct w:val="0"/>
        <w:autoSpaceDE/>
        <w:autoSpaceDN/>
        <w:bidi w:val="0"/>
        <w:adjustRightInd/>
        <w:snapToGrid/>
        <w:spacing w:before="240" w:after="120" w:line="52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cs="Times New Roman"/>
          <w:sz w:val="32"/>
          <w:szCs w:val="32"/>
          <w:lang w:val="en-US" w:eastAsia="zh-CN"/>
        </w:rPr>
        <w:t>4</w:t>
      </w:r>
      <w:r>
        <w:rPr>
          <w:rFonts w:hint="default" w:ascii="Times New Roman" w:hAnsi="Times New Roman" w:eastAsia="仿宋_GB2312" w:cs="Times New Roman"/>
          <w:sz w:val="32"/>
          <w:szCs w:val="32"/>
        </w:rPr>
        <w:t>.提供的车辆均具备合法营运资质，保险齐全且在有效期内</w:t>
      </w:r>
      <w:r>
        <w:rPr>
          <w:rFonts w:hint="default" w:ascii="Times New Roman" w:hAnsi="Times New Roman" w:eastAsia="仿宋_GB2312" w:cs="Times New Roman"/>
          <w:sz w:val="32"/>
          <w:szCs w:val="32"/>
          <w:lang w:val="en-US" w:eastAsia="zh-CN"/>
        </w:rPr>
        <w:t>。</w:t>
      </w:r>
    </w:p>
    <w:p w14:paraId="27516D6F">
      <w:pPr>
        <w:keepNext w:val="0"/>
        <w:keepLines w:val="0"/>
        <w:pageBreakBefore w:val="0"/>
        <w:widowControl/>
        <w:kinsoku/>
        <w:wordWrap/>
        <w:overflowPunct/>
        <w:topLinePunct w:val="0"/>
        <w:autoSpaceDE/>
        <w:autoSpaceDN/>
        <w:bidi w:val="0"/>
        <w:adjustRightInd/>
        <w:snapToGrid/>
        <w:spacing w:before="240" w:after="120" w:line="520" w:lineRule="exact"/>
        <w:ind w:firstLine="643" w:firstLineChars="200"/>
        <w:textAlignment w:val="auto"/>
        <w:rPr>
          <w:rFonts w:hint="default" w:ascii="Times New Roman" w:hAnsi="Times New Roman" w:cs="Times New Roman"/>
        </w:rPr>
      </w:pPr>
      <w:r>
        <w:rPr>
          <w:rFonts w:hint="default" w:ascii="Times New Roman" w:hAnsi="Times New Roman" w:eastAsia="黑体" w:cs="Times New Roman"/>
          <w:b/>
          <w:sz w:val="32"/>
          <w:lang w:val="en-US" w:eastAsia="zh-CN"/>
        </w:rPr>
        <w:t>二</w:t>
      </w:r>
      <w:r>
        <w:rPr>
          <w:rFonts w:hint="default" w:ascii="Times New Roman" w:hAnsi="Times New Roman" w:eastAsia="黑体" w:cs="Times New Roman"/>
          <w:b/>
          <w:sz w:val="32"/>
        </w:rPr>
        <w:t>、</w:t>
      </w:r>
      <w:r>
        <w:rPr>
          <w:rFonts w:hint="default" w:ascii="Times New Roman" w:hAnsi="Times New Roman" w:eastAsia="黑体" w:cs="Times New Roman"/>
          <w:b/>
          <w:sz w:val="32"/>
          <w:lang w:val="en-US" w:eastAsia="zh-CN"/>
        </w:rPr>
        <w:t>采购</w:t>
      </w:r>
      <w:r>
        <w:rPr>
          <w:rFonts w:hint="default" w:ascii="Times New Roman" w:hAnsi="Times New Roman" w:eastAsia="黑体" w:cs="Times New Roman"/>
          <w:b/>
          <w:sz w:val="32"/>
        </w:rPr>
        <w:t>需求</w:t>
      </w:r>
    </w:p>
    <w:tbl>
      <w:tblPr>
        <w:tblStyle w:val="34"/>
        <w:tblW w:w="9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2404"/>
        <w:gridCol w:w="3420"/>
        <w:gridCol w:w="2396"/>
      </w:tblGrid>
      <w:tr w14:paraId="6454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tcPr>
          <w:p w14:paraId="0C456235">
            <w:pPr>
              <w:spacing w:after="0" w:line="240" w:lineRule="auto"/>
              <w:jc w:val="center"/>
              <w:rPr>
                <w:rFonts w:hint="default" w:ascii="Times New Roman" w:hAnsi="Times New Roman" w:cs="Times New Roman"/>
              </w:rPr>
            </w:pPr>
            <w:r>
              <w:rPr>
                <w:rFonts w:hint="default" w:ascii="Times New Roman" w:hAnsi="Times New Roman" w:eastAsia="仿宋_GB2312" w:cs="Times New Roman"/>
                <w:b/>
                <w:sz w:val="28"/>
              </w:rPr>
              <w:t>序号</w:t>
            </w:r>
          </w:p>
        </w:tc>
        <w:tc>
          <w:tcPr>
            <w:tcW w:w="2404" w:type="dxa"/>
          </w:tcPr>
          <w:p w14:paraId="1B458486">
            <w:pPr>
              <w:spacing w:after="0" w:line="240" w:lineRule="auto"/>
              <w:jc w:val="center"/>
              <w:rPr>
                <w:rFonts w:hint="default" w:ascii="Times New Roman" w:hAnsi="Times New Roman" w:eastAsia="仿宋_GB2312" w:cs="Times New Roman"/>
                <w:lang w:val="en-US" w:eastAsia="zh-CN"/>
              </w:rPr>
            </w:pPr>
            <w:r>
              <w:rPr>
                <w:rFonts w:hint="default" w:ascii="Times New Roman" w:hAnsi="Times New Roman" w:eastAsia="仿宋_GB2312" w:cs="Times New Roman"/>
                <w:b/>
                <w:sz w:val="28"/>
              </w:rPr>
              <w:t>需求</w:t>
            </w:r>
            <w:r>
              <w:rPr>
                <w:rFonts w:hint="default" w:ascii="Times New Roman" w:hAnsi="Times New Roman" w:cs="Times New Roman"/>
                <w:b/>
                <w:sz w:val="28"/>
                <w:lang w:val="en-US" w:eastAsia="zh-CN"/>
              </w:rPr>
              <w:t>事项</w:t>
            </w:r>
          </w:p>
        </w:tc>
        <w:tc>
          <w:tcPr>
            <w:tcW w:w="3420" w:type="dxa"/>
          </w:tcPr>
          <w:p w14:paraId="60696674">
            <w:pPr>
              <w:spacing w:after="0" w:line="240" w:lineRule="auto"/>
              <w:jc w:val="center"/>
              <w:rPr>
                <w:rFonts w:hint="default" w:ascii="Times New Roman" w:hAnsi="Times New Roman" w:cs="Times New Roman"/>
              </w:rPr>
            </w:pPr>
            <w:r>
              <w:rPr>
                <w:rFonts w:hint="default" w:ascii="Times New Roman" w:hAnsi="Times New Roman" w:eastAsia="仿宋_GB2312" w:cs="Times New Roman"/>
                <w:b/>
                <w:sz w:val="28"/>
              </w:rPr>
              <w:t>具体要求</w:t>
            </w:r>
          </w:p>
        </w:tc>
        <w:tc>
          <w:tcPr>
            <w:tcW w:w="2396" w:type="dxa"/>
          </w:tcPr>
          <w:p w14:paraId="3E97EE46">
            <w:pPr>
              <w:spacing w:after="0" w:line="240" w:lineRule="auto"/>
              <w:jc w:val="center"/>
              <w:rPr>
                <w:rFonts w:hint="default" w:ascii="Times New Roman" w:hAnsi="Times New Roman" w:cs="Times New Roman"/>
              </w:rPr>
            </w:pPr>
            <w:r>
              <w:rPr>
                <w:rFonts w:hint="default" w:ascii="Times New Roman" w:hAnsi="Times New Roman" w:eastAsia="仿宋_GB2312" w:cs="Times New Roman"/>
                <w:b/>
                <w:sz w:val="28"/>
              </w:rPr>
              <w:t>备注</w:t>
            </w:r>
          </w:p>
        </w:tc>
      </w:tr>
      <w:tr w14:paraId="3595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jc w:val="center"/>
        </w:trPr>
        <w:tc>
          <w:tcPr>
            <w:tcW w:w="937" w:type="dxa"/>
            <w:vAlign w:val="center"/>
          </w:tcPr>
          <w:p w14:paraId="5824042D">
            <w:pPr>
              <w:spacing w:after="0" w:line="240" w:lineRule="auto"/>
              <w:jc w:val="center"/>
              <w:rPr>
                <w:rFonts w:hint="default" w:ascii="Times New Roman" w:hAnsi="Times New Roman" w:cs="Times New Roman"/>
                <w:sz w:val="28"/>
                <w:szCs w:val="28"/>
              </w:rPr>
            </w:pPr>
            <w:r>
              <w:rPr>
                <w:rFonts w:hint="default" w:ascii="Times New Roman" w:hAnsi="Times New Roman" w:eastAsia="仿宋_GB2312" w:cs="Times New Roman"/>
                <w:sz w:val="28"/>
                <w:szCs w:val="28"/>
              </w:rPr>
              <w:t>1</w:t>
            </w:r>
          </w:p>
        </w:tc>
        <w:tc>
          <w:tcPr>
            <w:tcW w:w="2404" w:type="dxa"/>
            <w:vAlign w:val="center"/>
          </w:tcPr>
          <w:p w14:paraId="10AEAB1D">
            <w:pPr>
              <w:spacing w:after="0" w:line="240" w:lineRule="auto"/>
              <w:jc w:val="center"/>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rPr>
              <w:t>车型</w:t>
            </w:r>
          </w:p>
        </w:tc>
        <w:tc>
          <w:tcPr>
            <w:tcW w:w="3420" w:type="dxa"/>
            <w:vAlign w:val="center"/>
          </w:tcPr>
          <w:p w14:paraId="623085CF">
            <w:pPr>
              <w:numPr>
                <w:ilvl w:val="0"/>
                <w:numId w:val="0"/>
              </w:numPr>
              <w:spacing w:after="0" w:line="240" w:lineRule="auto"/>
              <w:rPr>
                <w:rFonts w:hint="default" w:ascii="Times New Roman" w:hAnsi="Times New Roman" w:eastAsia="仿宋_GB2312" w:cs="Times New Roman"/>
                <w:sz w:val="28"/>
                <w:szCs w:val="28"/>
                <w:highlight w:val="none"/>
              </w:rPr>
            </w:pPr>
            <w:r>
              <w:rPr>
                <w:rFonts w:hint="default" w:ascii="Times New Roman" w:hAnsi="Times New Roman" w:cs="Times New Roman"/>
                <w:sz w:val="28"/>
                <w:szCs w:val="28"/>
                <w:highlight w:val="none"/>
                <w:lang w:val="en-US" w:eastAsia="zh-CN"/>
              </w:rPr>
              <w:t>1.</w:t>
            </w:r>
            <w:r>
              <w:rPr>
                <w:rFonts w:hint="default" w:ascii="Times New Roman" w:hAnsi="Times New Roman" w:eastAsia="仿宋_GB2312" w:cs="Times New Roman"/>
                <w:sz w:val="28"/>
                <w:szCs w:val="28"/>
                <w:highlight w:val="none"/>
              </w:rPr>
              <w:t>经济型</w:t>
            </w: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lang w:val="en-US" w:eastAsia="zh-CN"/>
              </w:rPr>
              <w:t>5座轿车</w:t>
            </w:r>
            <w:r>
              <w:rPr>
                <w:rFonts w:hint="default" w:ascii="Times New Roman" w:hAnsi="Times New Roman" w:cs="Times New Roman"/>
                <w:sz w:val="28"/>
                <w:szCs w:val="28"/>
                <w:highlight w:val="none"/>
                <w:lang w:eastAsia="zh-CN"/>
              </w:rPr>
              <w:t>）</w:t>
            </w:r>
            <w:r>
              <w:rPr>
                <w:rFonts w:hint="default" w:ascii="Times New Roman" w:hAnsi="Times New Roman" w:eastAsia="仿宋_GB2312" w:cs="Times New Roman"/>
                <w:sz w:val="28"/>
                <w:szCs w:val="28"/>
                <w:highlight w:val="none"/>
              </w:rPr>
              <w:br w:type="textWrapping"/>
            </w:r>
            <w:r>
              <w:rPr>
                <w:rFonts w:hint="default" w:ascii="Times New Roman" w:hAnsi="Times New Roman" w:cs="Times New Roman"/>
                <w:sz w:val="28"/>
                <w:szCs w:val="28"/>
                <w:highlight w:val="none"/>
                <w:lang w:val="en-US" w:eastAsia="zh-CN"/>
              </w:rPr>
              <w:t>2.</w:t>
            </w:r>
            <w:r>
              <w:rPr>
                <w:rFonts w:hint="default" w:ascii="Times New Roman" w:hAnsi="Times New Roman" w:eastAsia="仿宋_GB2312" w:cs="Times New Roman"/>
                <w:sz w:val="28"/>
                <w:szCs w:val="28"/>
                <w:highlight w:val="none"/>
              </w:rPr>
              <w:t>舒适型</w:t>
            </w: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lang w:val="en-US" w:eastAsia="zh-CN"/>
              </w:rPr>
              <w:t>5座轿车</w:t>
            </w:r>
            <w:r>
              <w:rPr>
                <w:rFonts w:hint="default" w:ascii="Times New Roman" w:hAnsi="Times New Roman" w:cs="Times New Roman"/>
                <w:sz w:val="28"/>
                <w:szCs w:val="28"/>
                <w:highlight w:val="none"/>
                <w:lang w:eastAsia="zh-CN"/>
              </w:rPr>
              <w:t>）</w:t>
            </w:r>
          </w:p>
          <w:p w14:paraId="2E30068B">
            <w:pPr>
              <w:numPr>
                <w:ilvl w:val="0"/>
                <w:numId w:val="0"/>
              </w:numPr>
              <w:spacing w:after="0" w:line="240" w:lineRule="auto"/>
              <w:ind w:leftChars="0"/>
              <w:rPr>
                <w:rFonts w:hint="default" w:ascii="Times New Roman" w:hAnsi="Times New Roman" w:eastAsia="仿宋_GB2312" w:cs="Times New Roman"/>
                <w:sz w:val="28"/>
                <w:szCs w:val="28"/>
                <w:highlight w:val="none"/>
                <w:lang w:val="en-US" w:eastAsia="zh-CN"/>
              </w:rPr>
            </w:pPr>
            <w:r>
              <w:rPr>
                <w:rFonts w:hint="default" w:ascii="Times New Roman" w:hAnsi="Times New Roman" w:cs="Times New Roman"/>
                <w:sz w:val="28"/>
                <w:szCs w:val="28"/>
                <w:highlight w:val="none"/>
                <w:lang w:val="en-US" w:eastAsia="zh-CN"/>
              </w:rPr>
              <w:t>3.SUV型（5座越野车）4.</w:t>
            </w:r>
            <w:r>
              <w:rPr>
                <w:rFonts w:hint="default" w:ascii="Times New Roman" w:hAnsi="Times New Roman" w:eastAsia="仿宋_GB2312" w:cs="Times New Roman"/>
                <w:sz w:val="28"/>
                <w:szCs w:val="28"/>
                <w:highlight w:val="none"/>
              </w:rPr>
              <w:t>商务型</w:t>
            </w: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lang w:val="en-US" w:eastAsia="zh-CN"/>
              </w:rPr>
              <w:t>7座</w:t>
            </w:r>
            <w:r>
              <w:rPr>
                <w:rFonts w:hint="default" w:ascii="Times New Roman" w:hAnsi="Times New Roman" w:cs="Times New Roman"/>
                <w:sz w:val="28"/>
                <w:szCs w:val="28"/>
                <w:highlight w:val="none"/>
                <w:lang w:eastAsia="zh-CN"/>
              </w:rPr>
              <w:t>）</w:t>
            </w:r>
          </w:p>
        </w:tc>
        <w:tc>
          <w:tcPr>
            <w:tcW w:w="2396" w:type="dxa"/>
            <w:vAlign w:val="center"/>
          </w:tcPr>
          <w:p w14:paraId="7F076010">
            <w:pPr>
              <w:tabs>
                <w:tab w:val="left" w:pos="750"/>
              </w:tabs>
              <w:bidi w:val="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请逐项列出可以响应的各车型的租赁服务费明细构成（日/元）</w:t>
            </w:r>
          </w:p>
        </w:tc>
      </w:tr>
      <w:tr w14:paraId="5FF8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0" w:hRule="atLeast"/>
          <w:jc w:val="center"/>
        </w:trPr>
        <w:tc>
          <w:tcPr>
            <w:tcW w:w="937" w:type="dxa"/>
            <w:vAlign w:val="center"/>
          </w:tcPr>
          <w:p w14:paraId="441121D9">
            <w:pPr>
              <w:spacing w:after="0" w:line="240" w:lineRule="auto"/>
              <w:jc w:val="center"/>
              <w:rPr>
                <w:rFonts w:hint="default" w:ascii="Times New Roman" w:hAnsi="Times New Roman" w:eastAsia="仿宋_GB2312" w:cs="Times New Roman"/>
                <w:sz w:val="28"/>
                <w:szCs w:val="28"/>
                <w:lang w:val="en-US" w:eastAsia="zh-CN"/>
              </w:rPr>
            </w:pPr>
            <w:r>
              <w:rPr>
                <w:rFonts w:hint="default" w:ascii="Times New Roman" w:hAnsi="Times New Roman" w:cs="Times New Roman"/>
                <w:sz w:val="28"/>
                <w:szCs w:val="28"/>
                <w:lang w:val="en-US" w:eastAsia="zh-CN"/>
              </w:rPr>
              <w:t>2</w:t>
            </w:r>
          </w:p>
        </w:tc>
        <w:tc>
          <w:tcPr>
            <w:tcW w:w="2404" w:type="dxa"/>
            <w:vAlign w:val="center"/>
          </w:tcPr>
          <w:p w14:paraId="34D0B7A7">
            <w:pPr>
              <w:spacing w:after="0" w:line="240" w:lineRule="auto"/>
              <w:jc w:val="center"/>
              <w:rPr>
                <w:rFonts w:hint="default" w:ascii="Times New Roman" w:hAnsi="Times New Roman" w:eastAsia="仿宋_GB2312" w:cs="Times New Roman"/>
                <w:sz w:val="28"/>
                <w:szCs w:val="28"/>
                <w:highlight w:val="none"/>
                <w:lang w:val="en-US" w:eastAsia="zh-CN"/>
              </w:rPr>
            </w:pPr>
            <w:r>
              <w:rPr>
                <w:rFonts w:hint="default" w:ascii="Times New Roman" w:hAnsi="Times New Roman" w:cs="Times New Roman"/>
                <w:sz w:val="28"/>
                <w:szCs w:val="28"/>
                <w:highlight w:val="none"/>
                <w:lang w:val="en-US" w:eastAsia="zh-CN"/>
              </w:rPr>
              <w:t>车辆安全</w:t>
            </w:r>
          </w:p>
        </w:tc>
        <w:tc>
          <w:tcPr>
            <w:tcW w:w="3420" w:type="dxa"/>
            <w:vAlign w:val="center"/>
          </w:tcPr>
          <w:p w14:paraId="4C8128A2">
            <w:pPr>
              <w:numPr>
                <w:ilvl w:val="0"/>
                <w:numId w:val="0"/>
              </w:numPr>
              <w:spacing w:after="0" w:line="240" w:lineRule="auto"/>
              <w:rPr>
                <w:rFonts w:hint="default" w:ascii="Times New Roman" w:hAnsi="Times New Roman" w:cs="Times New Roman"/>
                <w:sz w:val="28"/>
                <w:szCs w:val="28"/>
              </w:rPr>
            </w:pPr>
            <w:r>
              <w:rPr>
                <w:rFonts w:hint="default" w:ascii="Times New Roman" w:hAnsi="Times New Roman" w:cs="Times New Roman"/>
                <w:b w:val="0"/>
                <w:bCs/>
                <w:sz w:val="28"/>
                <w:szCs w:val="28"/>
                <w:lang w:val="en-US" w:eastAsia="zh-CN"/>
              </w:rPr>
              <w:t>1.</w:t>
            </w:r>
            <w:r>
              <w:rPr>
                <w:rFonts w:hint="default" w:ascii="Times New Roman" w:hAnsi="Times New Roman" w:eastAsia="仿宋_GB2312" w:cs="Times New Roman"/>
                <w:b w:val="0"/>
                <w:bCs/>
                <w:sz w:val="28"/>
                <w:szCs w:val="28"/>
              </w:rPr>
              <w:t>★</w:t>
            </w:r>
            <w:r>
              <w:rPr>
                <w:rFonts w:hint="default" w:ascii="Times New Roman" w:hAnsi="Times New Roman" w:cs="Times New Roman"/>
                <w:sz w:val="28"/>
                <w:szCs w:val="28"/>
                <w:lang w:val="en-US" w:eastAsia="zh-CN"/>
              </w:rPr>
              <w:t>承诺</w:t>
            </w:r>
            <w:r>
              <w:rPr>
                <w:rFonts w:hint="default" w:ascii="Times New Roman" w:hAnsi="Times New Roman" w:cs="Times New Roman"/>
                <w:sz w:val="28"/>
                <w:szCs w:val="28"/>
              </w:rPr>
              <w:t>租赁车辆</w:t>
            </w:r>
            <w:r>
              <w:rPr>
                <w:rFonts w:hint="default" w:ascii="Times New Roman" w:hAnsi="Times New Roman" w:cs="Times New Roman"/>
                <w:sz w:val="28"/>
                <w:szCs w:val="28"/>
                <w:lang w:val="en-US" w:eastAsia="zh-CN"/>
              </w:rPr>
              <w:t>的</w:t>
            </w:r>
            <w:r>
              <w:rPr>
                <w:rFonts w:hint="default" w:ascii="Times New Roman" w:hAnsi="Times New Roman" w:cs="Times New Roman"/>
                <w:sz w:val="28"/>
                <w:szCs w:val="28"/>
              </w:rPr>
              <w:t>车龄在5年以内、每辆车总行驶里程不超过12万公里。</w:t>
            </w:r>
          </w:p>
          <w:p w14:paraId="398892AD">
            <w:pPr>
              <w:numPr>
                <w:ilvl w:val="0"/>
                <w:numId w:val="0"/>
              </w:numPr>
              <w:spacing w:after="0" w:line="240" w:lineRule="auto"/>
              <w:rPr>
                <w:rFonts w:hint="default" w:ascii="Times New Roman" w:hAnsi="Times New Roman" w:eastAsia="仿宋_GB2312" w:cs="Times New Roman"/>
                <w:sz w:val="28"/>
                <w:szCs w:val="28"/>
                <w:lang w:val="en-US" w:eastAsia="zh-CN"/>
              </w:rPr>
            </w:pPr>
            <w:r>
              <w:rPr>
                <w:rFonts w:hint="default" w:ascii="Times New Roman" w:hAnsi="Times New Roman" w:cs="Times New Roman"/>
                <w:sz w:val="28"/>
                <w:szCs w:val="28"/>
                <w:lang w:val="en-US" w:eastAsia="zh-CN"/>
              </w:rPr>
              <w:t>2.租赁车辆的</w:t>
            </w:r>
            <w:r>
              <w:rPr>
                <w:rFonts w:hint="default" w:ascii="Times New Roman" w:hAnsi="Times New Roman" w:eastAsia="仿宋_GB2312" w:cs="Times New Roman"/>
                <w:sz w:val="28"/>
                <w:szCs w:val="28"/>
              </w:rPr>
              <w:t>保险险种（交强险+商业险+承运人责任险）</w:t>
            </w:r>
            <w:r>
              <w:rPr>
                <w:rFonts w:hint="default" w:ascii="Times New Roman" w:hAnsi="Times New Roman" w:cs="Times New Roman"/>
                <w:sz w:val="28"/>
                <w:szCs w:val="28"/>
                <w:lang w:val="en-US" w:eastAsia="zh-CN"/>
              </w:rPr>
              <w:t>和保额</w:t>
            </w:r>
          </w:p>
        </w:tc>
        <w:tc>
          <w:tcPr>
            <w:tcW w:w="2396" w:type="dxa"/>
            <w:vAlign w:val="center"/>
          </w:tcPr>
          <w:p w14:paraId="7453C0BB">
            <w:pPr>
              <w:tabs>
                <w:tab w:val="left" w:pos="750"/>
              </w:tabs>
              <w:bidi w:val="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1.承诺函格式自拟</w:t>
            </w:r>
          </w:p>
          <w:p w14:paraId="47354F19">
            <w:pPr>
              <w:tabs>
                <w:tab w:val="left" w:pos="750"/>
              </w:tabs>
              <w:bidi w:val="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2.请提供车辆保险有关情况说明</w:t>
            </w:r>
          </w:p>
        </w:tc>
      </w:tr>
      <w:tr w14:paraId="703A5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40C4A5C5">
            <w:pPr>
              <w:spacing w:after="0" w:line="240" w:lineRule="auto"/>
              <w:jc w:val="center"/>
              <w:rPr>
                <w:rFonts w:hint="default" w:ascii="Times New Roman" w:hAnsi="Times New Roman" w:eastAsia="仿宋_GB2312" w:cs="Times New Roman"/>
                <w:sz w:val="28"/>
                <w:szCs w:val="28"/>
                <w:lang w:eastAsia="zh-CN"/>
              </w:rPr>
            </w:pPr>
            <w:r>
              <w:rPr>
                <w:rFonts w:hint="default" w:ascii="Times New Roman" w:hAnsi="Times New Roman" w:cs="Times New Roman"/>
                <w:sz w:val="28"/>
                <w:szCs w:val="28"/>
                <w:lang w:val="en-US" w:eastAsia="zh-CN"/>
              </w:rPr>
              <w:t>3</w:t>
            </w:r>
          </w:p>
        </w:tc>
        <w:tc>
          <w:tcPr>
            <w:tcW w:w="2404" w:type="dxa"/>
            <w:vAlign w:val="center"/>
          </w:tcPr>
          <w:p w14:paraId="355CBB1D">
            <w:pPr>
              <w:spacing w:after="0" w:line="240" w:lineRule="auto"/>
              <w:jc w:val="center"/>
              <w:rPr>
                <w:rFonts w:hint="default" w:ascii="Times New Roman" w:hAnsi="Times New Roman" w:cs="Times New Roman"/>
                <w:sz w:val="28"/>
                <w:szCs w:val="28"/>
              </w:rPr>
            </w:pPr>
            <w:r>
              <w:rPr>
                <w:rFonts w:hint="default" w:ascii="Times New Roman" w:hAnsi="Times New Roman" w:eastAsia="仿宋_GB2312" w:cs="Times New Roman"/>
                <w:sz w:val="28"/>
                <w:szCs w:val="28"/>
              </w:rPr>
              <w:t>服务区域</w:t>
            </w:r>
          </w:p>
        </w:tc>
        <w:tc>
          <w:tcPr>
            <w:tcW w:w="3420" w:type="dxa"/>
            <w:vAlign w:val="center"/>
          </w:tcPr>
          <w:p w14:paraId="331A97B1">
            <w:pPr>
              <w:numPr>
                <w:ilvl w:val="0"/>
                <w:numId w:val="0"/>
              </w:numPr>
              <w:spacing w:after="0" w:line="240" w:lineRule="auto"/>
              <w:rPr>
                <w:rFonts w:hint="default" w:ascii="Times New Roman" w:hAnsi="Times New Roman" w:eastAsia="仿宋_GB2312" w:cs="Times New Roman"/>
                <w:b w:val="0"/>
                <w:bCs/>
                <w:sz w:val="28"/>
                <w:szCs w:val="28"/>
              </w:rPr>
            </w:pPr>
            <w:r>
              <w:rPr>
                <w:rFonts w:hint="default" w:ascii="Times New Roman" w:hAnsi="Times New Roman" w:eastAsia="仿宋_GB2312" w:cs="Times New Roman"/>
                <w:b w:val="0"/>
                <w:bCs/>
                <w:sz w:val="28"/>
                <w:szCs w:val="28"/>
                <w:lang w:val="en-US" w:eastAsia="zh-CN"/>
              </w:rPr>
              <w:t>1.</w:t>
            </w:r>
            <w:r>
              <w:rPr>
                <w:rFonts w:hint="default" w:ascii="Times New Roman" w:hAnsi="Times New Roman" w:eastAsia="仿宋_GB2312" w:cs="Times New Roman"/>
                <w:b w:val="0"/>
                <w:bCs/>
                <w:sz w:val="28"/>
                <w:szCs w:val="28"/>
              </w:rPr>
              <w:t>★</w:t>
            </w:r>
            <w:r>
              <w:rPr>
                <w:rFonts w:hint="default" w:ascii="Times New Roman" w:hAnsi="Times New Roman" w:eastAsia="仿宋_GB2312" w:cs="Times New Roman"/>
                <w:b w:val="0"/>
                <w:bCs/>
                <w:sz w:val="28"/>
                <w:szCs w:val="28"/>
                <w:lang w:val="en-US" w:eastAsia="zh-CN"/>
              </w:rPr>
              <w:t>覆盖公司办公地点</w:t>
            </w:r>
            <w:r>
              <w:rPr>
                <w:rFonts w:hint="default" w:ascii="Times New Roman" w:hAnsi="Times New Roman" w:eastAsia="仿宋_GB2312" w:cs="Times New Roman"/>
                <w:b w:val="0"/>
                <w:bCs/>
                <w:sz w:val="28"/>
                <w:szCs w:val="28"/>
              </w:rPr>
              <w:t>（详见附件</w:t>
            </w:r>
            <w:r>
              <w:rPr>
                <w:rFonts w:hint="eastAsia" w:ascii="Times New Roman" w:hAnsi="Times New Roman" w:cs="Times New Roman"/>
                <w:b w:val="0"/>
                <w:bCs/>
                <w:sz w:val="28"/>
                <w:szCs w:val="28"/>
                <w:lang w:val="en-US" w:eastAsia="zh-CN"/>
              </w:rPr>
              <w:t>1-1</w:t>
            </w:r>
            <w:r>
              <w:rPr>
                <w:rFonts w:hint="default" w:ascii="Times New Roman" w:hAnsi="Times New Roman" w:eastAsia="仿宋_GB2312" w:cs="Times New Roman"/>
                <w:b w:val="0"/>
                <w:bCs/>
                <w:sz w:val="28"/>
                <w:szCs w:val="28"/>
              </w:rPr>
              <w:t>）</w:t>
            </w:r>
          </w:p>
          <w:p w14:paraId="12FAF18A">
            <w:pPr>
              <w:numPr>
                <w:ilvl w:val="0"/>
                <w:numId w:val="0"/>
              </w:numPr>
              <w:spacing w:after="0" w:line="240" w:lineRule="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2.广东省内服务网点分布和数量等情况</w:t>
            </w:r>
          </w:p>
        </w:tc>
        <w:tc>
          <w:tcPr>
            <w:tcW w:w="2396" w:type="dxa"/>
            <w:vAlign w:val="center"/>
          </w:tcPr>
          <w:p w14:paraId="20488996">
            <w:pPr>
              <w:spacing w:after="0" w:line="240" w:lineRule="auto"/>
              <w:rPr>
                <w:rFonts w:hint="default" w:ascii="Times New Roman" w:hAnsi="Times New Roman" w:eastAsia="仿宋_GB2312" w:cs="Times New Roman"/>
                <w:sz w:val="28"/>
                <w:szCs w:val="28"/>
                <w:lang w:val="en-US" w:eastAsia="zh-CN"/>
              </w:rPr>
            </w:pPr>
            <w:r>
              <w:rPr>
                <w:rFonts w:hint="default" w:ascii="Times New Roman" w:hAnsi="Times New Roman" w:cs="Times New Roman"/>
                <w:sz w:val="28"/>
                <w:szCs w:val="28"/>
                <w:lang w:val="en-US" w:eastAsia="zh-CN"/>
              </w:rPr>
              <w:t>请逐项进行响应</w:t>
            </w:r>
          </w:p>
        </w:tc>
      </w:tr>
      <w:tr w14:paraId="4120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5" w:hRule="atLeast"/>
          <w:jc w:val="center"/>
        </w:trPr>
        <w:tc>
          <w:tcPr>
            <w:tcW w:w="937" w:type="dxa"/>
            <w:vAlign w:val="center"/>
          </w:tcPr>
          <w:p w14:paraId="1E90BF62">
            <w:pPr>
              <w:spacing w:after="0" w:line="240" w:lineRule="auto"/>
              <w:jc w:val="center"/>
              <w:rPr>
                <w:rFonts w:hint="default" w:ascii="Times New Roman" w:hAnsi="Times New Roman" w:eastAsia="仿宋_GB2312" w:cs="Times New Roman"/>
                <w:sz w:val="28"/>
                <w:szCs w:val="28"/>
                <w:lang w:eastAsia="zh-CN"/>
              </w:rPr>
            </w:pPr>
            <w:r>
              <w:rPr>
                <w:rFonts w:hint="default" w:ascii="Times New Roman" w:hAnsi="Times New Roman" w:cs="Times New Roman"/>
                <w:sz w:val="28"/>
                <w:szCs w:val="28"/>
                <w:lang w:val="en-US" w:eastAsia="zh-CN"/>
              </w:rPr>
              <w:t>4</w:t>
            </w:r>
          </w:p>
        </w:tc>
        <w:tc>
          <w:tcPr>
            <w:tcW w:w="2404" w:type="dxa"/>
            <w:vAlign w:val="center"/>
          </w:tcPr>
          <w:p w14:paraId="2F2AB9C1">
            <w:pPr>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lang w:val="en-US" w:eastAsia="zh-CN"/>
              </w:rPr>
              <w:t>服务</w:t>
            </w:r>
            <w:r>
              <w:rPr>
                <w:rFonts w:hint="default" w:ascii="Times New Roman" w:hAnsi="Times New Roman" w:eastAsia="仿宋_GB2312" w:cs="Times New Roman"/>
                <w:sz w:val="28"/>
                <w:szCs w:val="28"/>
              </w:rPr>
              <w:t>保障</w:t>
            </w:r>
          </w:p>
        </w:tc>
        <w:tc>
          <w:tcPr>
            <w:tcW w:w="3420" w:type="dxa"/>
            <w:vAlign w:val="center"/>
          </w:tcPr>
          <w:p w14:paraId="57765BAC">
            <w:pPr>
              <w:numPr>
                <w:ilvl w:val="0"/>
                <w:numId w:val="0"/>
              </w:numPr>
              <w:spacing w:after="0" w:line="240" w:lineRule="auto"/>
              <w:rPr>
                <w:rFonts w:hint="default" w:ascii="Times New Roman" w:hAnsi="Times New Roman" w:eastAsia="仿宋_GB2312" w:cs="Times New Roman"/>
                <w:sz w:val="28"/>
                <w:szCs w:val="28"/>
                <w:lang w:val="en-US" w:eastAsia="zh-CN"/>
              </w:rPr>
            </w:pPr>
            <w:r>
              <w:rPr>
                <w:rFonts w:hint="default" w:ascii="Times New Roman" w:hAnsi="Times New Roman" w:cs="Times New Roman"/>
                <w:sz w:val="28"/>
                <w:szCs w:val="28"/>
                <w:lang w:val="en-US" w:eastAsia="zh-CN"/>
              </w:rPr>
              <w:t>包括但不限于：租赁</w:t>
            </w:r>
            <w:r>
              <w:rPr>
                <w:rFonts w:hint="default" w:ascii="Times New Roman" w:hAnsi="Times New Roman" w:eastAsia="仿宋_GB2312" w:cs="Times New Roman"/>
                <w:sz w:val="28"/>
                <w:szCs w:val="28"/>
              </w:rPr>
              <w:t>车辆车龄及车况</w:t>
            </w:r>
            <w:r>
              <w:rPr>
                <w:rFonts w:hint="default" w:ascii="Times New Roman" w:hAnsi="Times New Roman" w:cs="Times New Roman"/>
                <w:sz w:val="28"/>
                <w:szCs w:val="28"/>
                <w:lang w:val="en-US" w:eastAsia="zh-CN"/>
              </w:rPr>
              <w:t>情况、车辆保障能力</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具备</w:t>
            </w:r>
            <w:r>
              <w:rPr>
                <w:rFonts w:hint="default" w:ascii="Times New Roman" w:hAnsi="Times New Roman" w:cs="Times New Roman"/>
                <w:sz w:val="28"/>
                <w:szCs w:val="28"/>
              </w:rPr>
              <w:t>租车（订车）管理系统</w:t>
            </w:r>
            <w:r>
              <w:rPr>
                <w:rFonts w:hint="default" w:ascii="Times New Roman" w:hAnsi="Times New Roman" w:cs="Times New Roman"/>
                <w:sz w:val="28"/>
                <w:szCs w:val="28"/>
                <w:lang w:eastAsia="zh-CN"/>
              </w:rPr>
              <w:t>、</w:t>
            </w:r>
            <w:r>
              <w:rPr>
                <w:rFonts w:hint="default" w:ascii="Times New Roman" w:hAnsi="Times New Roman" w:eastAsia="仿宋_GB2312" w:cs="Times New Roman"/>
                <w:sz w:val="28"/>
                <w:szCs w:val="28"/>
              </w:rPr>
              <w:t>交通事故及车辆故障应急响应机制</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结算方式的便利性等</w:t>
            </w:r>
          </w:p>
        </w:tc>
        <w:tc>
          <w:tcPr>
            <w:tcW w:w="2396" w:type="dxa"/>
            <w:vAlign w:val="center"/>
          </w:tcPr>
          <w:p w14:paraId="181733AA">
            <w:pPr>
              <w:spacing w:after="0" w:line="240" w:lineRule="auto"/>
              <w:rPr>
                <w:rFonts w:hint="default" w:ascii="Times New Roman" w:hAnsi="Times New Roman" w:eastAsia="仿宋_GB2312" w:cs="Times New Roman"/>
                <w:sz w:val="28"/>
                <w:szCs w:val="28"/>
                <w:lang w:val="en-US" w:eastAsia="zh-CN"/>
              </w:rPr>
            </w:pPr>
            <w:r>
              <w:rPr>
                <w:rFonts w:hint="default" w:ascii="Times New Roman" w:hAnsi="Times New Roman" w:cs="Times New Roman"/>
                <w:sz w:val="28"/>
                <w:szCs w:val="28"/>
                <w:lang w:val="en-US" w:eastAsia="zh-CN"/>
              </w:rPr>
              <w:t>请提供具体服务方案，格式自拟</w:t>
            </w:r>
          </w:p>
        </w:tc>
      </w:tr>
      <w:tr w14:paraId="09DC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jc w:val="center"/>
        </w:trPr>
        <w:tc>
          <w:tcPr>
            <w:tcW w:w="937" w:type="dxa"/>
            <w:shd w:val="clear" w:color="auto" w:fill="auto"/>
            <w:vAlign w:val="center"/>
          </w:tcPr>
          <w:p w14:paraId="0B4CEA60">
            <w:pPr>
              <w:spacing w:after="0" w:line="240" w:lineRule="auto"/>
              <w:jc w:val="center"/>
              <w:rPr>
                <w:rFonts w:hint="default" w:ascii="Times New Roman" w:hAnsi="Times New Roman" w:eastAsia="仿宋_GB2312" w:cs="Times New Roman"/>
                <w:sz w:val="28"/>
                <w:szCs w:val="28"/>
                <w:lang w:val="en-US" w:eastAsia="zh-CN" w:bidi="ar-SA"/>
              </w:rPr>
            </w:pPr>
            <w:r>
              <w:rPr>
                <w:rFonts w:hint="default" w:ascii="Times New Roman" w:hAnsi="Times New Roman" w:cs="Times New Roman"/>
                <w:sz w:val="28"/>
                <w:szCs w:val="28"/>
                <w:lang w:val="en-US" w:eastAsia="zh-CN"/>
              </w:rPr>
              <w:t>5</w:t>
            </w:r>
          </w:p>
        </w:tc>
        <w:tc>
          <w:tcPr>
            <w:tcW w:w="2404" w:type="dxa"/>
            <w:shd w:val="clear" w:color="auto" w:fill="auto"/>
            <w:vAlign w:val="center"/>
          </w:tcPr>
          <w:p w14:paraId="0B8F2F16">
            <w:pPr>
              <w:spacing w:after="0" w:line="240" w:lineRule="auto"/>
              <w:jc w:val="center"/>
              <w:rPr>
                <w:rFonts w:hint="default" w:ascii="Times New Roman" w:hAnsi="Times New Roman" w:eastAsia="仿宋_GB2312" w:cs="Times New Roman"/>
                <w:sz w:val="28"/>
                <w:szCs w:val="28"/>
                <w:lang w:val="en-US" w:eastAsia="en-US" w:bidi="ar-SA"/>
              </w:rPr>
            </w:pPr>
            <w:r>
              <w:rPr>
                <w:rFonts w:hint="default" w:ascii="Times New Roman" w:hAnsi="Times New Roman" w:eastAsia="仿宋_GB2312" w:cs="Times New Roman"/>
                <w:sz w:val="28"/>
                <w:szCs w:val="28"/>
              </w:rPr>
              <w:t>增值服务</w:t>
            </w:r>
          </w:p>
        </w:tc>
        <w:tc>
          <w:tcPr>
            <w:tcW w:w="3420" w:type="dxa"/>
            <w:shd w:val="clear" w:color="auto" w:fill="auto"/>
            <w:vAlign w:val="center"/>
          </w:tcPr>
          <w:p w14:paraId="20D1A895">
            <w:pPr>
              <w:numPr>
                <w:ilvl w:val="0"/>
                <w:numId w:val="0"/>
              </w:numPr>
              <w:spacing w:after="0" w:line="240" w:lineRule="auto"/>
              <w:rPr>
                <w:rFonts w:hint="default" w:ascii="Times New Roman" w:hAnsi="Times New Roman" w:eastAsia="仿宋_GB2312" w:cs="Times New Roman"/>
                <w:sz w:val="28"/>
                <w:szCs w:val="28"/>
                <w:lang w:val="en-US" w:eastAsia="zh-CN" w:bidi="ar-SA"/>
              </w:rPr>
            </w:pPr>
            <w:r>
              <w:rPr>
                <w:rFonts w:hint="default" w:ascii="Times New Roman" w:hAnsi="Times New Roman" w:cs="Times New Roman"/>
                <w:sz w:val="28"/>
                <w:szCs w:val="28"/>
                <w:lang w:val="en-US" w:eastAsia="zh-CN"/>
              </w:rPr>
              <w:t>包括但不限于：免押金、</w:t>
            </w:r>
            <w:r>
              <w:rPr>
                <w:rFonts w:hint="default" w:ascii="Times New Roman" w:hAnsi="Times New Roman" w:eastAsia="仿宋_GB2312" w:cs="Times New Roman"/>
                <w:sz w:val="28"/>
                <w:szCs w:val="28"/>
              </w:rPr>
              <w:t>免异地还车费</w:t>
            </w:r>
            <w:r>
              <w:rPr>
                <w:rFonts w:hint="default" w:ascii="Times New Roman" w:hAnsi="Times New Roman" w:cs="Times New Roman"/>
                <w:sz w:val="28"/>
                <w:szCs w:val="28"/>
                <w:lang w:eastAsia="zh-CN"/>
              </w:rPr>
              <w:t>、</w:t>
            </w:r>
            <w:r>
              <w:rPr>
                <w:rFonts w:hint="default" w:ascii="Times New Roman" w:hAnsi="Times New Roman" w:eastAsia="仿宋_GB2312" w:cs="Times New Roman"/>
                <w:sz w:val="28"/>
                <w:szCs w:val="28"/>
              </w:rPr>
              <w:t>免费送车上门</w:t>
            </w:r>
            <w:r>
              <w:rPr>
                <w:rFonts w:hint="default" w:ascii="Times New Roman" w:hAnsi="Times New Roman" w:cs="Times New Roman"/>
                <w:sz w:val="28"/>
                <w:szCs w:val="28"/>
                <w:lang w:eastAsia="zh-CN"/>
              </w:rPr>
              <w:t>、</w:t>
            </w:r>
            <w:r>
              <w:rPr>
                <w:rFonts w:hint="default" w:ascii="Times New Roman" w:hAnsi="Times New Roman" w:eastAsia="仿宋_GB2312" w:cs="Times New Roman"/>
                <w:sz w:val="28"/>
                <w:szCs w:val="28"/>
              </w:rPr>
              <w:t>免费上门取还车</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提供通行服务（如：提供ETC设备使用）等</w:t>
            </w:r>
          </w:p>
        </w:tc>
        <w:tc>
          <w:tcPr>
            <w:tcW w:w="2396" w:type="dxa"/>
            <w:shd w:val="clear" w:color="auto" w:fill="auto"/>
            <w:vAlign w:val="center"/>
          </w:tcPr>
          <w:p w14:paraId="1F86E9C7">
            <w:pPr>
              <w:spacing w:after="0" w:line="240" w:lineRule="auto"/>
              <w:rPr>
                <w:rFonts w:hint="default" w:ascii="Times New Roman" w:hAnsi="Times New Roman" w:eastAsia="仿宋_GB2312" w:cs="Times New Roman"/>
                <w:sz w:val="28"/>
                <w:szCs w:val="28"/>
                <w:lang w:val="en-US" w:eastAsia="zh-CN" w:bidi="ar-SA"/>
              </w:rPr>
            </w:pPr>
            <w:r>
              <w:rPr>
                <w:rFonts w:hint="default" w:ascii="Times New Roman" w:hAnsi="Times New Roman" w:cs="Times New Roman"/>
                <w:sz w:val="28"/>
                <w:szCs w:val="28"/>
                <w:lang w:val="en-US" w:eastAsia="zh-CN" w:bidi="ar-SA"/>
              </w:rPr>
              <w:t>请逐一列出可以提供的增值服务</w:t>
            </w:r>
          </w:p>
        </w:tc>
      </w:tr>
      <w:tr w14:paraId="4032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937" w:type="dxa"/>
            <w:shd w:val="clear" w:color="auto" w:fill="auto"/>
            <w:vAlign w:val="center"/>
          </w:tcPr>
          <w:p w14:paraId="3051DE50">
            <w:pPr>
              <w:spacing w:after="0" w:line="240" w:lineRule="auto"/>
              <w:jc w:val="center"/>
              <w:rPr>
                <w:rFonts w:hint="default" w:ascii="Times New Roman" w:hAnsi="Times New Roman" w:cs="Times New Roman"/>
                <w:sz w:val="28"/>
                <w:lang w:val="en-US" w:eastAsia="zh-CN"/>
              </w:rPr>
            </w:pPr>
            <w:r>
              <w:rPr>
                <w:rFonts w:hint="default" w:ascii="Times New Roman" w:hAnsi="Times New Roman" w:cs="Times New Roman"/>
                <w:sz w:val="28"/>
                <w:lang w:val="en-US" w:eastAsia="zh-CN"/>
              </w:rPr>
              <w:t>6</w:t>
            </w:r>
          </w:p>
        </w:tc>
        <w:tc>
          <w:tcPr>
            <w:tcW w:w="2404" w:type="dxa"/>
            <w:shd w:val="clear" w:color="auto" w:fill="auto"/>
            <w:vAlign w:val="center"/>
          </w:tcPr>
          <w:p w14:paraId="2245A8CD">
            <w:pPr>
              <w:spacing w:after="0" w:line="240" w:lineRule="auto"/>
              <w:jc w:val="center"/>
              <w:rPr>
                <w:rFonts w:hint="default" w:ascii="Times New Roman" w:hAnsi="Times New Roman" w:eastAsia="仿宋_GB2312" w:cs="Times New Roman"/>
                <w:sz w:val="28"/>
                <w:lang w:val="en-US" w:eastAsia="zh-CN"/>
              </w:rPr>
            </w:pPr>
            <w:r>
              <w:rPr>
                <w:rFonts w:hint="default" w:ascii="Times New Roman" w:hAnsi="Times New Roman" w:cs="Times New Roman"/>
                <w:sz w:val="28"/>
                <w:lang w:val="en-US" w:eastAsia="zh-CN"/>
              </w:rPr>
              <w:t>报价</w:t>
            </w:r>
          </w:p>
        </w:tc>
        <w:tc>
          <w:tcPr>
            <w:tcW w:w="3420" w:type="dxa"/>
            <w:shd w:val="clear" w:color="auto" w:fill="auto"/>
            <w:vAlign w:val="center"/>
          </w:tcPr>
          <w:p w14:paraId="2ADC25E5">
            <w:pPr>
              <w:spacing w:after="0" w:line="240" w:lineRule="auto"/>
              <w:rPr>
                <w:rFonts w:hint="default" w:ascii="Times New Roman" w:hAnsi="Times New Roman" w:eastAsia="仿宋_GB2312" w:cs="Times New Roman"/>
                <w:b/>
                <w:sz w:val="21"/>
                <w:szCs w:val="21"/>
                <w:lang w:eastAsia="zh-CN"/>
              </w:rPr>
            </w:pPr>
            <w:r>
              <w:rPr>
                <w:rFonts w:hint="default" w:ascii="Times New Roman" w:hAnsi="Times New Roman" w:cs="Times New Roman"/>
                <w:b/>
                <w:sz w:val="28"/>
                <w:szCs w:val="28"/>
              </w:rPr>
              <w:t>★</w:t>
            </w:r>
            <w:r>
              <w:rPr>
                <w:rFonts w:hint="default" w:ascii="Times New Roman" w:hAnsi="Times New Roman" w:cs="Times New Roman"/>
                <w:sz w:val="28"/>
                <w:szCs w:val="28"/>
                <w:lang w:val="en-US" w:eastAsia="zh-CN"/>
              </w:rPr>
              <w:t>本项目采用</w:t>
            </w:r>
            <w:r>
              <w:rPr>
                <w:rFonts w:hint="default" w:ascii="Times New Roman" w:hAnsi="Times New Roman" w:cs="Times New Roman"/>
                <w:b/>
                <w:bCs/>
                <w:sz w:val="28"/>
                <w:szCs w:val="28"/>
                <w:lang w:val="en-US" w:eastAsia="zh-CN"/>
              </w:rPr>
              <w:t>报价折扣率</w:t>
            </w:r>
            <w:r>
              <w:rPr>
                <w:rFonts w:hint="default" w:ascii="Times New Roman" w:hAnsi="Times New Roman" w:cs="Times New Roman"/>
                <w:sz w:val="28"/>
                <w:szCs w:val="28"/>
                <w:lang w:val="en-US" w:eastAsia="zh-CN"/>
              </w:rPr>
              <w:t>，折扣率必须为固定报价，不接受区间报价（如85%-90%）；必须对所有车型的车辆租赁费报出一个统一的折扣率。</w:t>
            </w:r>
            <w:r>
              <w:rPr>
                <w:rFonts w:hint="default" w:ascii="Times New Roman" w:hAnsi="Times New Roman" w:cs="Times New Roman"/>
                <w:b/>
                <w:bCs/>
                <w:sz w:val="28"/>
                <w:szCs w:val="28"/>
                <w:lang w:val="en-US" w:eastAsia="zh-CN"/>
              </w:rPr>
              <w:t>不允许不同车型报不同的折扣率。</w:t>
            </w:r>
          </w:p>
        </w:tc>
        <w:tc>
          <w:tcPr>
            <w:tcW w:w="2396" w:type="dxa"/>
            <w:shd w:val="clear" w:color="auto" w:fill="auto"/>
            <w:vAlign w:val="center"/>
          </w:tcPr>
          <w:p w14:paraId="0626EC5F">
            <w:pPr>
              <w:spacing w:after="0" w:line="240" w:lineRule="auto"/>
              <w:rPr>
                <w:rFonts w:hint="default" w:ascii="Times New Roman" w:hAnsi="Times New Roman" w:eastAsia="仿宋_GB2312" w:cs="Times New Roman"/>
                <w:sz w:val="32"/>
                <w:szCs w:val="22"/>
                <w:lang w:val="en-US" w:eastAsia="zh-CN" w:bidi="ar-SA"/>
              </w:rPr>
            </w:pPr>
          </w:p>
        </w:tc>
      </w:tr>
    </w:tbl>
    <w:p w14:paraId="0EAAF37C">
      <w:pPr>
        <w:pStyle w:val="165"/>
        <w:rPr>
          <w:rFonts w:hint="default" w:ascii="Times New Roman" w:hAnsi="Times New Roman" w:eastAsia="仿宋_GB2312" w:cs="Times New Roman"/>
          <w:b w:val="0"/>
          <w:bCs w:val="0"/>
          <w:sz w:val="22"/>
          <w:szCs w:val="22"/>
        </w:rPr>
      </w:pPr>
      <w:r>
        <w:rPr>
          <w:rFonts w:hint="default" w:ascii="Times New Roman" w:hAnsi="Times New Roman" w:eastAsia="仿宋_GB2312" w:cs="Times New Roman"/>
          <w:b/>
          <w:bCs/>
          <w:sz w:val="22"/>
          <w:szCs w:val="22"/>
          <w:lang w:val="en-US" w:eastAsia="zh-CN"/>
        </w:rPr>
        <w:t>注：1.</w:t>
      </w:r>
      <w:r>
        <w:rPr>
          <w:rFonts w:hint="default" w:ascii="Times New Roman" w:hAnsi="Times New Roman" w:eastAsia="仿宋_GB2312" w:cs="Times New Roman"/>
          <w:b/>
          <w:bCs/>
          <w:sz w:val="22"/>
          <w:szCs w:val="22"/>
        </w:rPr>
        <w:t>凡标有“★”</w:t>
      </w:r>
      <w:r>
        <w:rPr>
          <w:rFonts w:hint="default" w:ascii="Times New Roman" w:hAnsi="Times New Roman" w:eastAsia="仿宋_GB2312" w:cs="Times New Roman"/>
          <w:b/>
          <w:bCs/>
          <w:sz w:val="22"/>
          <w:szCs w:val="22"/>
          <w:lang w:val="en-US" w:eastAsia="zh-CN"/>
        </w:rPr>
        <w:t>的</w:t>
      </w:r>
      <w:r>
        <w:rPr>
          <w:rFonts w:hint="default" w:ascii="Times New Roman" w:hAnsi="Times New Roman" w:eastAsia="仿宋_GB2312" w:cs="Times New Roman"/>
          <w:b/>
          <w:bCs/>
          <w:sz w:val="22"/>
          <w:szCs w:val="22"/>
        </w:rPr>
        <w:t>均为实质性响应条款，若有一项带“★”的条款未响应或不满足，将按无效</w:t>
      </w:r>
      <w:r>
        <w:rPr>
          <w:rFonts w:hint="default" w:ascii="Times New Roman" w:hAnsi="Times New Roman" w:eastAsia="仿宋_GB2312" w:cs="Times New Roman"/>
          <w:b/>
          <w:bCs/>
          <w:sz w:val="22"/>
          <w:szCs w:val="22"/>
          <w:lang w:val="en-US" w:eastAsia="zh-CN"/>
        </w:rPr>
        <w:t>响应</w:t>
      </w:r>
      <w:r>
        <w:rPr>
          <w:rFonts w:hint="default" w:ascii="Times New Roman" w:hAnsi="Times New Roman" w:eastAsia="仿宋_GB2312" w:cs="Times New Roman"/>
          <w:b/>
          <w:bCs/>
          <w:sz w:val="22"/>
          <w:szCs w:val="22"/>
        </w:rPr>
        <w:t>处理。</w:t>
      </w:r>
    </w:p>
    <w:p w14:paraId="56ADB6CC">
      <w:pPr>
        <w:pStyle w:val="165"/>
        <w:rPr>
          <w:rFonts w:hint="default" w:ascii="Times New Roman" w:hAnsi="Times New Roman" w:eastAsia="仿宋_GB2312" w:cs="Times New Roman"/>
          <w:b w:val="0"/>
          <w:bCs w:val="0"/>
          <w:sz w:val="22"/>
          <w:szCs w:val="22"/>
          <w:highlight w:val="none"/>
          <w:lang w:eastAsia="zh-CN"/>
        </w:rPr>
      </w:pPr>
      <w:r>
        <w:rPr>
          <w:rFonts w:hint="default" w:ascii="Times New Roman" w:hAnsi="Times New Roman" w:eastAsia="仿宋_GB2312" w:cs="Times New Roman"/>
          <w:b w:val="0"/>
          <w:bCs w:val="0"/>
          <w:sz w:val="22"/>
          <w:szCs w:val="22"/>
          <w:lang w:val="en-US" w:eastAsia="zh-CN"/>
        </w:rPr>
        <w:t xml:space="preserve">    2.本项目</w:t>
      </w:r>
      <w:r>
        <w:rPr>
          <w:rFonts w:hint="default" w:ascii="Times New Roman" w:hAnsi="Times New Roman" w:eastAsia="仿宋_GB2312" w:cs="Times New Roman"/>
          <w:b w:val="0"/>
          <w:bCs w:val="0"/>
          <w:sz w:val="22"/>
          <w:szCs w:val="22"/>
          <w:highlight w:val="none"/>
          <w:lang w:val="en-US" w:eastAsia="zh-CN"/>
        </w:rPr>
        <w:t>合同</w:t>
      </w:r>
      <w:r>
        <w:rPr>
          <w:rFonts w:hint="default" w:ascii="Times New Roman" w:hAnsi="Times New Roman" w:eastAsia="仿宋_GB2312" w:cs="Times New Roman"/>
          <w:b w:val="0"/>
          <w:bCs w:val="0"/>
          <w:sz w:val="22"/>
          <w:szCs w:val="22"/>
          <w:highlight w:val="none"/>
        </w:rPr>
        <w:t>期两年</w:t>
      </w:r>
      <w:r>
        <w:rPr>
          <w:rFonts w:hint="default" w:ascii="Times New Roman" w:hAnsi="Times New Roman" w:eastAsia="仿宋_GB2312" w:cs="Times New Roman"/>
          <w:b w:val="0"/>
          <w:bCs w:val="0"/>
          <w:sz w:val="22"/>
          <w:szCs w:val="22"/>
          <w:highlight w:val="none"/>
          <w:lang w:eastAsia="zh-CN"/>
        </w:rPr>
        <w:t>，</w:t>
      </w:r>
      <w:r>
        <w:rPr>
          <w:rFonts w:hint="default" w:ascii="Times New Roman" w:hAnsi="Times New Roman" w:eastAsia="仿宋_GB2312" w:cs="Times New Roman"/>
          <w:b w:val="0"/>
          <w:bCs w:val="0"/>
          <w:sz w:val="22"/>
          <w:szCs w:val="22"/>
          <w:highlight w:val="none"/>
          <w:lang w:val="en-US" w:eastAsia="zh-CN"/>
        </w:rPr>
        <w:t>采取一年一签方式，</w:t>
      </w:r>
      <w:r>
        <w:rPr>
          <w:rFonts w:hint="default" w:ascii="Times New Roman" w:hAnsi="Times New Roman" w:eastAsia="仿宋_GB2312" w:cs="Times New Roman"/>
          <w:b w:val="0"/>
          <w:bCs w:val="0"/>
          <w:sz w:val="22"/>
          <w:szCs w:val="22"/>
          <w:highlight w:val="none"/>
        </w:rPr>
        <w:t>根据</w:t>
      </w:r>
      <w:r>
        <w:rPr>
          <w:rFonts w:hint="default" w:ascii="Times New Roman" w:hAnsi="Times New Roman" w:eastAsia="仿宋_GB2312" w:cs="Times New Roman"/>
          <w:b w:val="0"/>
          <w:bCs w:val="0"/>
          <w:sz w:val="22"/>
          <w:szCs w:val="22"/>
          <w:highlight w:val="none"/>
          <w:lang w:val="en-US" w:eastAsia="zh-CN"/>
        </w:rPr>
        <w:t>履约情况</w:t>
      </w:r>
      <w:r>
        <w:rPr>
          <w:rFonts w:hint="default" w:ascii="Times New Roman" w:hAnsi="Times New Roman" w:eastAsia="仿宋_GB2312" w:cs="Times New Roman"/>
          <w:b w:val="0"/>
          <w:bCs w:val="0"/>
          <w:sz w:val="22"/>
          <w:szCs w:val="22"/>
          <w:highlight w:val="none"/>
        </w:rPr>
        <w:t>及服务评价续签</w:t>
      </w:r>
      <w:r>
        <w:rPr>
          <w:rFonts w:hint="default" w:ascii="Times New Roman" w:hAnsi="Times New Roman" w:eastAsia="仿宋_GB2312" w:cs="Times New Roman"/>
          <w:b w:val="0"/>
          <w:bCs w:val="0"/>
          <w:sz w:val="22"/>
          <w:szCs w:val="22"/>
          <w:highlight w:val="none"/>
          <w:lang w:eastAsia="zh-CN"/>
        </w:rPr>
        <w:t>。</w:t>
      </w:r>
    </w:p>
    <w:p w14:paraId="100221A3">
      <w:pPr>
        <w:pStyle w:val="165"/>
        <w:rPr>
          <w:rFonts w:hint="default" w:ascii="Times New Roman" w:hAnsi="Times New Roman" w:eastAsia="仿宋_GB2312" w:cs="Times New Roman"/>
          <w:b w:val="0"/>
          <w:bCs w:val="0"/>
          <w:sz w:val="22"/>
          <w:szCs w:val="22"/>
          <w:highlight w:val="none"/>
          <w:lang w:val="en-US" w:eastAsia="zh-CN"/>
        </w:rPr>
      </w:pPr>
      <w:r>
        <w:rPr>
          <w:rFonts w:hint="default" w:ascii="Times New Roman" w:hAnsi="Times New Roman" w:eastAsia="仿宋_GB2312" w:cs="Times New Roman"/>
          <w:b w:val="0"/>
          <w:bCs w:val="0"/>
          <w:sz w:val="22"/>
          <w:szCs w:val="22"/>
          <w:highlight w:val="none"/>
          <w:lang w:val="en-US" w:eastAsia="zh-CN"/>
        </w:rPr>
        <w:t xml:space="preserve">    3.本项目采取</w:t>
      </w:r>
      <w:r>
        <w:rPr>
          <w:rFonts w:hint="default" w:ascii="Times New Roman" w:hAnsi="Times New Roman" w:eastAsia="仿宋_GB2312" w:cs="Times New Roman"/>
          <w:b w:val="0"/>
          <w:bCs w:val="0"/>
          <w:sz w:val="22"/>
          <w:szCs w:val="22"/>
          <w:highlight w:val="none"/>
        </w:rPr>
        <w:t>按月结算</w:t>
      </w:r>
      <w:r>
        <w:rPr>
          <w:rFonts w:hint="default" w:ascii="Times New Roman" w:hAnsi="Times New Roman" w:eastAsia="仿宋_GB2312" w:cs="Times New Roman"/>
          <w:b w:val="0"/>
          <w:bCs w:val="0"/>
          <w:sz w:val="22"/>
          <w:szCs w:val="22"/>
          <w:highlight w:val="none"/>
          <w:lang w:val="en-US" w:eastAsia="zh-CN"/>
        </w:rPr>
        <w:t>方式</w:t>
      </w:r>
      <w:r>
        <w:rPr>
          <w:rFonts w:hint="default" w:ascii="Times New Roman" w:hAnsi="Times New Roman" w:eastAsia="仿宋_GB2312" w:cs="Times New Roman"/>
          <w:b w:val="0"/>
          <w:bCs w:val="0"/>
          <w:sz w:val="22"/>
          <w:szCs w:val="22"/>
          <w:highlight w:val="none"/>
        </w:rPr>
        <w:t>，需提供账单</w:t>
      </w:r>
      <w:r>
        <w:rPr>
          <w:rFonts w:hint="default" w:ascii="Times New Roman" w:hAnsi="Times New Roman" w:eastAsia="仿宋_GB2312" w:cs="Times New Roman"/>
          <w:b w:val="0"/>
          <w:bCs w:val="0"/>
          <w:sz w:val="22"/>
          <w:szCs w:val="22"/>
          <w:highlight w:val="none"/>
          <w:lang w:val="en-US" w:eastAsia="zh-CN"/>
        </w:rPr>
        <w:t>明细</w:t>
      </w:r>
      <w:r>
        <w:rPr>
          <w:rFonts w:hint="default" w:ascii="Times New Roman" w:hAnsi="Times New Roman" w:eastAsia="仿宋_GB2312" w:cs="Times New Roman"/>
          <w:b w:val="0"/>
          <w:bCs w:val="0"/>
          <w:sz w:val="22"/>
          <w:szCs w:val="22"/>
          <w:highlight w:val="none"/>
        </w:rPr>
        <w:t>及增值税专用发票</w:t>
      </w:r>
      <w:r>
        <w:rPr>
          <w:rFonts w:hint="default" w:ascii="Times New Roman" w:hAnsi="Times New Roman" w:eastAsia="仿宋_GB2312" w:cs="Times New Roman"/>
          <w:b w:val="0"/>
          <w:bCs w:val="0"/>
          <w:sz w:val="22"/>
          <w:szCs w:val="22"/>
          <w:highlight w:val="none"/>
          <w:lang w:eastAsia="zh-CN"/>
        </w:rPr>
        <w:t>。</w:t>
      </w:r>
    </w:p>
    <w:p w14:paraId="375D4E5A">
      <w:pPr>
        <w:keepNext w:val="0"/>
        <w:keepLines w:val="0"/>
        <w:pageBreakBefore w:val="0"/>
        <w:widowControl/>
        <w:kinsoku/>
        <w:wordWrap/>
        <w:overflowPunct/>
        <w:topLinePunct w:val="0"/>
        <w:autoSpaceDE/>
        <w:autoSpaceDN/>
        <w:bidi w:val="0"/>
        <w:adjustRightInd/>
        <w:snapToGrid/>
        <w:spacing w:before="240" w:after="120"/>
        <w:ind w:firstLine="643" w:firstLineChars="200"/>
        <w:textAlignment w:val="auto"/>
        <w:rPr>
          <w:rFonts w:hint="default" w:ascii="Times New Roman" w:hAnsi="Times New Roman" w:eastAsia="黑体" w:cs="Times New Roman"/>
          <w:b/>
          <w:sz w:val="32"/>
          <w:lang w:val="en-US" w:eastAsia="zh-CN"/>
        </w:rPr>
      </w:pPr>
      <w:r>
        <w:rPr>
          <w:rFonts w:hint="default" w:ascii="Times New Roman" w:hAnsi="Times New Roman" w:eastAsia="黑体" w:cs="Times New Roman"/>
          <w:b/>
          <w:sz w:val="32"/>
          <w:lang w:val="en-US" w:eastAsia="zh-CN"/>
        </w:rPr>
        <w:t>三、评审标准</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1773"/>
        <w:gridCol w:w="3845"/>
        <w:gridCol w:w="1377"/>
      </w:tblGrid>
      <w:tr w14:paraId="2C1E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253" w:type="dxa"/>
            <w:noWrap w:val="0"/>
            <w:vAlign w:val="top"/>
          </w:tcPr>
          <w:p w14:paraId="224F5D1D">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仿宋_GB2312" w:cs="Times New Roman"/>
                <w:sz w:val="21"/>
                <w:szCs w:val="21"/>
                <w:lang w:val="en-US" w:eastAsia="zh-CN" w:bidi="ar-SA"/>
              </w:rPr>
            </w:pPr>
            <w:r>
              <w:rPr>
                <w:rFonts w:hint="default" w:ascii="Times New Roman" w:hAnsi="Times New Roman" w:cs="Times New Roman"/>
                <w:b/>
                <w:sz w:val="21"/>
                <w:szCs w:val="21"/>
                <w:lang w:val="en-US" w:eastAsia="zh-CN"/>
              </w:rPr>
              <w:t>评审项目</w:t>
            </w:r>
          </w:p>
        </w:tc>
        <w:tc>
          <w:tcPr>
            <w:tcW w:w="1773" w:type="dxa"/>
            <w:noWrap w:val="0"/>
            <w:vAlign w:val="top"/>
          </w:tcPr>
          <w:p w14:paraId="41E578F6">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仿宋_GB2312" w:cs="Times New Roman"/>
                <w:sz w:val="21"/>
                <w:szCs w:val="21"/>
                <w:lang w:val="en-US" w:eastAsia="zh-CN" w:bidi="ar-SA"/>
              </w:rPr>
            </w:pPr>
            <w:r>
              <w:rPr>
                <w:rFonts w:hint="default" w:ascii="Times New Roman" w:hAnsi="Times New Roman" w:cs="Times New Roman"/>
                <w:b/>
                <w:sz w:val="21"/>
                <w:szCs w:val="21"/>
                <w:lang w:val="en-US" w:eastAsia="zh-CN"/>
              </w:rPr>
              <w:t>评审细项</w:t>
            </w:r>
          </w:p>
        </w:tc>
        <w:tc>
          <w:tcPr>
            <w:tcW w:w="3845" w:type="dxa"/>
            <w:noWrap w:val="0"/>
            <w:vAlign w:val="top"/>
          </w:tcPr>
          <w:p w14:paraId="0233211C">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仿宋_GB2312" w:cs="Times New Roman"/>
                <w:sz w:val="21"/>
                <w:szCs w:val="21"/>
                <w:lang w:val="en-US" w:eastAsia="zh-CN" w:bidi="ar-SA"/>
              </w:rPr>
            </w:pPr>
            <w:r>
              <w:rPr>
                <w:rFonts w:hint="default" w:ascii="Times New Roman" w:hAnsi="Times New Roman" w:cs="Times New Roman"/>
                <w:b/>
                <w:sz w:val="21"/>
                <w:szCs w:val="21"/>
                <w:lang w:val="en-US" w:eastAsia="zh-CN"/>
              </w:rPr>
              <w:t>评审标准</w:t>
            </w:r>
          </w:p>
        </w:tc>
        <w:tc>
          <w:tcPr>
            <w:tcW w:w="1377" w:type="dxa"/>
            <w:noWrap w:val="0"/>
            <w:vAlign w:val="top"/>
          </w:tcPr>
          <w:p w14:paraId="0FDAB395">
            <w:pPr>
              <w:spacing w:after="0" w:line="240" w:lineRule="auto"/>
              <w:jc w:val="center"/>
              <w:rPr>
                <w:rFonts w:hint="default" w:ascii="Times New Roman" w:hAnsi="Times New Roman" w:cs="Times New Roman"/>
                <w:b/>
                <w:sz w:val="21"/>
                <w:szCs w:val="21"/>
                <w:lang w:val="en-US" w:eastAsia="zh-CN"/>
              </w:rPr>
            </w:pPr>
            <w:r>
              <w:rPr>
                <w:rFonts w:hint="default" w:ascii="Times New Roman" w:hAnsi="Times New Roman" w:cs="Times New Roman"/>
                <w:b/>
                <w:sz w:val="21"/>
                <w:szCs w:val="21"/>
                <w:lang w:val="en-US" w:eastAsia="zh-CN"/>
              </w:rPr>
              <w:t>分值</w:t>
            </w:r>
          </w:p>
        </w:tc>
      </w:tr>
      <w:tr w14:paraId="4201D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253" w:type="dxa"/>
            <w:vMerge w:val="restart"/>
            <w:noWrap w:val="0"/>
            <w:vAlign w:val="center"/>
          </w:tcPr>
          <w:p w14:paraId="45DDEDC3">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技术和服务部分</w:t>
            </w:r>
          </w:p>
          <w:p w14:paraId="45F7408A">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center"/>
              <w:textAlignment w:val="auto"/>
              <w:rPr>
                <w:rFonts w:hint="default" w:ascii="Times New Roman" w:hAnsi="Times New Roman" w:eastAsia="仿宋_GB2312" w:cs="Times New Roman"/>
                <w:sz w:val="21"/>
                <w:szCs w:val="21"/>
                <w:lang w:val="en-US"/>
              </w:rPr>
            </w:pPr>
            <w:r>
              <w:rPr>
                <w:rFonts w:hint="default" w:ascii="Times New Roman" w:hAnsi="Times New Roman" w:eastAsia="仿宋_GB2312" w:cs="Times New Roman"/>
                <w:sz w:val="21"/>
                <w:szCs w:val="21"/>
                <w:lang w:val="en-US" w:eastAsia="zh-CN"/>
              </w:rPr>
              <w:t>（80分）</w:t>
            </w:r>
          </w:p>
          <w:p w14:paraId="379BC8F1">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center"/>
              <w:textAlignment w:val="auto"/>
              <w:rPr>
                <w:rFonts w:hint="default" w:ascii="Times New Roman" w:hAnsi="Times New Roman" w:eastAsia="仿宋_GB2312" w:cs="Times New Roman"/>
                <w:sz w:val="21"/>
                <w:szCs w:val="21"/>
                <w:lang w:val="en-US" w:eastAsia="en-US"/>
              </w:rPr>
            </w:pPr>
          </w:p>
        </w:tc>
        <w:tc>
          <w:tcPr>
            <w:tcW w:w="1773" w:type="dxa"/>
            <w:noWrap w:val="0"/>
            <w:vAlign w:val="center"/>
          </w:tcPr>
          <w:p w14:paraId="019BD1AA">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车型</w:t>
            </w:r>
          </w:p>
        </w:tc>
        <w:tc>
          <w:tcPr>
            <w:tcW w:w="3845" w:type="dxa"/>
            <w:noWrap w:val="0"/>
            <w:vAlign w:val="center"/>
          </w:tcPr>
          <w:p w14:paraId="2F8B3147">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left"/>
              <w:textAlignment w:val="auto"/>
              <w:rPr>
                <w:rFonts w:hint="default" w:ascii="Times New Roman" w:hAnsi="Times New Roman" w:eastAsia="仿宋_GB2312" w:cs="Times New Roman"/>
                <w:sz w:val="21"/>
                <w:szCs w:val="21"/>
                <w:lang w:val="en-US" w:eastAsia="zh-CN"/>
              </w:rPr>
            </w:pPr>
            <w:r>
              <w:rPr>
                <w:rFonts w:hint="default" w:ascii="Times New Roman" w:hAnsi="Times New Roman" w:cs="Times New Roman"/>
                <w:sz w:val="21"/>
                <w:szCs w:val="21"/>
                <w:lang w:val="en-US" w:eastAsia="zh-CN"/>
              </w:rPr>
              <w:t>结合</w:t>
            </w:r>
            <w:r>
              <w:rPr>
                <w:rFonts w:hint="default" w:ascii="Times New Roman" w:hAnsi="Times New Roman" w:eastAsia="仿宋_GB2312" w:cs="Times New Roman"/>
                <w:sz w:val="21"/>
                <w:szCs w:val="21"/>
              </w:rPr>
              <w:t>车型丰富度（经济型/舒适型/SUV/商务型等）</w:t>
            </w:r>
            <w:r>
              <w:rPr>
                <w:rFonts w:hint="default" w:ascii="Times New Roman" w:hAnsi="Times New Roman" w:cs="Times New Roman"/>
                <w:sz w:val="21"/>
                <w:szCs w:val="21"/>
                <w:lang w:val="en-US" w:eastAsia="zh-CN"/>
              </w:rPr>
              <w:t>横向比较</w:t>
            </w:r>
          </w:p>
        </w:tc>
        <w:tc>
          <w:tcPr>
            <w:tcW w:w="1377" w:type="dxa"/>
            <w:noWrap w:val="0"/>
            <w:vAlign w:val="center"/>
          </w:tcPr>
          <w:p w14:paraId="154F51D6">
            <w:pPr>
              <w:numPr>
                <w:ilvl w:val="0"/>
                <w:numId w:val="0"/>
              </w:numPr>
              <w:spacing w:line="360" w:lineRule="auto"/>
              <w:ind w:left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10分</w:t>
            </w:r>
          </w:p>
        </w:tc>
      </w:tr>
      <w:tr w14:paraId="74B4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253" w:type="dxa"/>
            <w:vMerge w:val="continue"/>
            <w:noWrap w:val="0"/>
            <w:vAlign w:val="center"/>
          </w:tcPr>
          <w:p w14:paraId="32021142">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center"/>
              <w:textAlignment w:val="auto"/>
              <w:rPr>
                <w:rFonts w:hint="default" w:ascii="Times New Roman" w:hAnsi="Times New Roman" w:eastAsia="仿宋_GB2312" w:cs="Times New Roman"/>
                <w:sz w:val="21"/>
                <w:szCs w:val="21"/>
                <w:lang w:val="en-US" w:eastAsia="en-US"/>
              </w:rPr>
            </w:pPr>
          </w:p>
        </w:tc>
        <w:tc>
          <w:tcPr>
            <w:tcW w:w="1773" w:type="dxa"/>
            <w:noWrap w:val="0"/>
            <w:vAlign w:val="center"/>
          </w:tcPr>
          <w:p w14:paraId="5581CA94">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服务</w:t>
            </w:r>
            <w:r>
              <w:rPr>
                <w:rFonts w:hint="default" w:ascii="Times New Roman" w:hAnsi="Times New Roman" w:eastAsia="仿宋_GB2312" w:cs="Times New Roman"/>
                <w:sz w:val="21"/>
                <w:szCs w:val="21"/>
                <w:lang w:val="en-US" w:eastAsia="zh-CN"/>
              </w:rPr>
              <w:t>区域</w:t>
            </w:r>
          </w:p>
        </w:tc>
        <w:tc>
          <w:tcPr>
            <w:tcW w:w="3845" w:type="dxa"/>
            <w:noWrap w:val="0"/>
            <w:vAlign w:val="center"/>
          </w:tcPr>
          <w:p w14:paraId="2328D603">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left"/>
              <w:textAlignment w:val="auto"/>
              <w:rPr>
                <w:rFonts w:hint="default" w:ascii="Times New Roman" w:hAnsi="Times New Roman" w:eastAsia="仿宋_GB2312" w:cs="Times New Roman"/>
                <w:sz w:val="21"/>
                <w:szCs w:val="21"/>
                <w:lang w:val="en-US" w:eastAsia="zh-CN"/>
              </w:rPr>
            </w:pPr>
            <w:r>
              <w:rPr>
                <w:rFonts w:hint="default" w:ascii="Times New Roman" w:hAnsi="Times New Roman" w:cs="Times New Roman"/>
                <w:sz w:val="21"/>
                <w:szCs w:val="21"/>
                <w:lang w:val="en-US" w:eastAsia="zh-CN"/>
              </w:rPr>
              <w:t>结合</w:t>
            </w:r>
            <w:r>
              <w:rPr>
                <w:rFonts w:hint="default" w:ascii="Times New Roman" w:hAnsi="Times New Roman" w:eastAsia="仿宋_GB2312" w:cs="Times New Roman"/>
                <w:sz w:val="21"/>
                <w:szCs w:val="21"/>
              </w:rPr>
              <w:t>服务区域覆盖范围、网点</w:t>
            </w:r>
            <w:r>
              <w:rPr>
                <w:rFonts w:hint="default" w:ascii="Times New Roman" w:hAnsi="Times New Roman" w:eastAsia="仿宋_GB2312" w:cs="Times New Roman"/>
                <w:sz w:val="21"/>
                <w:szCs w:val="21"/>
                <w:lang w:val="en-US" w:eastAsia="zh-CN"/>
              </w:rPr>
              <w:t>分布</w:t>
            </w:r>
            <w:r>
              <w:rPr>
                <w:rFonts w:hint="default" w:ascii="Times New Roman" w:hAnsi="Times New Roman" w:eastAsia="仿宋_GB2312" w:cs="Times New Roman"/>
                <w:sz w:val="21"/>
                <w:szCs w:val="21"/>
              </w:rPr>
              <w:t>密度</w:t>
            </w:r>
            <w:r>
              <w:rPr>
                <w:rFonts w:hint="default" w:ascii="Times New Roman" w:hAnsi="Times New Roman" w:eastAsia="仿宋_GB2312" w:cs="Times New Roman"/>
                <w:sz w:val="21"/>
                <w:szCs w:val="21"/>
                <w:lang w:val="en-US" w:eastAsia="zh-CN"/>
              </w:rPr>
              <w:t>和数量</w:t>
            </w:r>
            <w:r>
              <w:rPr>
                <w:rFonts w:hint="default" w:ascii="Times New Roman" w:hAnsi="Times New Roman" w:cs="Times New Roman"/>
                <w:sz w:val="21"/>
                <w:szCs w:val="21"/>
                <w:lang w:val="en-US" w:eastAsia="zh-CN"/>
              </w:rPr>
              <w:t>横向比较</w:t>
            </w:r>
          </w:p>
        </w:tc>
        <w:tc>
          <w:tcPr>
            <w:tcW w:w="1377" w:type="dxa"/>
            <w:noWrap w:val="0"/>
            <w:vAlign w:val="center"/>
          </w:tcPr>
          <w:p w14:paraId="7F431B75">
            <w:pPr>
              <w:numPr>
                <w:ilvl w:val="0"/>
                <w:numId w:val="0"/>
              </w:numPr>
              <w:spacing w:line="360" w:lineRule="auto"/>
              <w:ind w:left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20分</w:t>
            </w:r>
          </w:p>
        </w:tc>
      </w:tr>
      <w:tr w14:paraId="0F03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3" w:type="dxa"/>
            <w:vMerge w:val="continue"/>
            <w:noWrap w:val="0"/>
            <w:vAlign w:val="center"/>
          </w:tcPr>
          <w:p w14:paraId="2F1C666D">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center"/>
              <w:textAlignment w:val="auto"/>
              <w:rPr>
                <w:rFonts w:hint="default" w:ascii="Times New Roman" w:hAnsi="Times New Roman" w:eastAsia="仿宋_GB2312" w:cs="Times New Roman"/>
                <w:sz w:val="21"/>
                <w:szCs w:val="21"/>
                <w:lang w:val="en-US" w:eastAsia="en-US"/>
              </w:rPr>
            </w:pPr>
          </w:p>
        </w:tc>
        <w:tc>
          <w:tcPr>
            <w:tcW w:w="1773" w:type="dxa"/>
            <w:noWrap w:val="0"/>
            <w:vAlign w:val="center"/>
          </w:tcPr>
          <w:p w14:paraId="4D2AFA88">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服务保障能力</w:t>
            </w:r>
          </w:p>
        </w:tc>
        <w:tc>
          <w:tcPr>
            <w:tcW w:w="3845" w:type="dxa"/>
            <w:noWrap w:val="0"/>
            <w:vAlign w:val="center"/>
          </w:tcPr>
          <w:p w14:paraId="4CAA9656">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left"/>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结合供应商的服务方案横向比较</w:t>
            </w:r>
          </w:p>
        </w:tc>
        <w:tc>
          <w:tcPr>
            <w:tcW w:w="1377" w:type="dxa"/>
            <w:noWrap w:val="0"/>
            <w:vAlign w:val="center"/>
          </w:tcPr>
          <w:p w14:paraId="42A2B88B">
            <w:pPr>
              <w:numPr>
                <w:ilvl w:val="0"/>
                <w:numId w:val="0"/>
              </w:numPr>
              <w:spacing w:line="360" w:lineRule="auto"/>
              <w:ind w:left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20分</w:t>
            </w:r>
          </w:p>
        </w:tc>
      </w:tr>
      <w:tr w14:paraId="546D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3" w:type="dxa"/>
            <w:vMerge w:val="continue"/>
            <w:noWrap w:val="0"/>
            <w:vAlign w:val="center"/>
          </w:tcPr>
          <w:p w14:paraId="28FA02C5">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center"/>
              <w:textAlignment w:val="auto"/>
              <w:rPr>
                <w:rFonts w:hint="default" w:ascii="Times New Roman" w:hAnsi="Times New Roman" w:eastAsia="仿宋_GB2312" w:cs="Times New Roman"/>
                <w:sz w:val="21"/>
                <w:szCs w:val="21"/>
                <w:lang w:val="en-US" w:eastAsia="en-US"/>
              </w:rPr>
            </w:pPr>
          </w:p>
        </w:tc>
        <w:tc>
          <w:tcPr>
            <w:tcW w:w="1773" w:type="dxa"/>
            <w:noWrap w:val="0"/>
            <w:vAlign w:val="center"/>
          </w:tcPr>
          <w:p w14:paraId="4306B035">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增值服务</w:t>
            </w:r>
          </w:p>
        </w:tc>
        <w:tc>
          <w:tcPr>
            <w:tcW w:w="3845" w:type="dxa"/>
            <w:noWrap w:val="0"/>
            <w:vAlign w:val="center"/>
          </w:tcPr>
          <w:p w14:paraId="0F9E4788">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left"/>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结合供应商提供的增值服务横向比较</w:t>
            </w:r>
          </w:p>
        </w:tc>
        <w:tc>
          <w:tcPr>
            <w:tcW w:w="1377" w:type="dxa"/>
            <w:noWrap w:val="0"/>
            <w:vAlign w:val="center"/>
          </w:tcPr>
          <w:p w14:paraId="103DB912">
            <w:pPr>
              <w:numPr>
                <w:ilvl w:val="0"/>
                <w:numId w:val="0"/>
              </w:numPr>
              <w:spacing w:line="360" w:lineRule="auto"/>
              <w:ind w:left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10分</w:t>
            </w:r>
          </w:p>
        </w:tc>
      </w:tr>
      <w:tr w14:paraId="240A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3" w:type="dxa"/>
            <w:vMerge w:val="continue"/>
            <w:noWrap w:val="0"/>
            <w:vAlign w:val="center"/>
          </w:tcPr>
          <w:p w14:paraId="081DDE4B">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center"/>
              <w:textAlignment w:val="auto"/>
              <w:rPr>
                <w:rFonts w:hint="default" w:ascii="Times New Roman" w:hAnsi="Times New Roman" w:eastAsia="仿宋_GB2312" w:cs="Times New Roman"/>
                <w:sz w:val="21"/>
                <w:szCs w:val="21"/>
                <w:lang w:val="en-US" w:eastAsia="zh-CN"/>
              </w:rPr>
            </w:pPr>
          </w:p>
        </w:tc>
        <w:tc>
          <w:tcPr>
            <w:tcW w:w="1773" w:type="dxa"/>
            <w:noWrap w:val="0"/>
            <w:vAlign w:val="center"/>
          </w:tcPr>
          <w:p w14:paraId="78BB549C">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车辆保险</w:t>
            </w:r>
          </w:p>
        </w:tc>
        <w:tc>
          <w:tcPr>
            <w:tcW w:w="3845" w:type="dxa"/>
            <w:noWrap w:val="0"/>
            <w:vAlign w:val="center"/>
          </w:tcPr>
          <w:p w14:paraId="1E6D1AB4">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left"/>
              <w:textAlignment w:val="auto"/>
              <w:rPr>
                <w:rFonts w:hint="default" w:ascii="Times New Roman" w:hAnsi="Times New Roman" w:eastAsia="仿宋_GB2312" w:cs="Times New Roman"/>
                <w:sz w:val="21"/>
                <w:szCs w:val="21"/>
                <w:lang w:val="en-US" w:eastAsia="zh-CN"/>
              </w:rPr>
            </w:pPr>
            <w:r>
              <w:rPr>
                <w:rFonts w:hint="default" w:ascii="Times New Roman" w:hAnsi="Times New Roman" w:cs="Times New Roman"/>
                <w:sz w:val="21"/>
                <w:szCs w:val="21"/>
                <w:lang w:val="en-US" w:eastAsia="zh-CN"/>
              </w:rPr>
              <w:t>结合</w:t>
            </w:r>
            <w:r>
              <w:rPr>
                <w:rFonts w:hint="default" w:ascii="Times New Roman" w:hAnsi="Times New Roman" w:eastAsia="仿宋_GB2312" w:cs="Times New Roman"/>
                <w:sz w:val="21"/>
                <w:szCs w:val="21"/>
              </w:rPr>
              <w:t>保险险种（交强险+商业险+承运人责任险）</w:t>
            </w:r>
            <w:r>
              <w:rPr>
                <w:rFonts w:hint="default" w:ascii="Times New Roman" w:hAnsi="Times New Roman" w:cs="Times New Roman"/>
                <w:sz w:val="21"/>
                <w:szCs w:val="21"/>
                <w:lang w:val="en-US" w:eastAsia="zh-CN"/>
              </w:rPr>
              <w:t>以及</w:t>
            </w:r>
            <w:r>
              <w:rPr>
                <w:rFonts w:hint="default" w:ascii="Times New Roman" w:hAnsi="Times New Roman" w:eastAsia="仿宋_GB2312" w:cs="Times New Roman"/>
                <w:sz w:val="21"/>
                <w:szCs w:val="21"/>
              </w:rPr>
              <w:t>保额</w:t>
            </w:r>
            <w:r>
              <w:rPr>
                <w:rFonts w:hint="default" w:ascii="Times New Roman" w:hAnsi="Times New Roman" w:cs="Times New Roman"/>
                <w:sz w:val="21"/>
                <w:szCs w:val="21"/>
                <w:lang w:val="en-US" w:eastAsia="zh-CN"/>
              </w:rPr>
              <w:t>等横向比较</w:t>
            </w:r>
          </w:p>
        </w:tc>
        <w:tc>
          <w:tcPr>
            <w:tcW w:w="1377" w:type="dxa"/>
            <w:noWrap w:val="0"/>
            <w:vAlign w:val="center"/>
          </w:tcPr>
          <w:p w14:paraId="77BDDE0C">
            <w:pPr>
              <w:numPr>
                <w:ilvl w:val="0"/>
                <w:numId w:val="0"/>
              </w:numPr>
              <w:spacing w:line="360" w:lineRule="auto"/>
              <w:ind w:left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10分</w:t>
            </w:r>
          </w:p>
        </w:tc>
      </w:tr>
      <w:tr w14:paraId="1A453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253" w:type="dxa"/>
            <w:vMerge w:val="continue"/>
            <w:noWrap w:val="0"/>
            <w:vAlign w:val="center"/>
          </w:tcPr>
          <w:p w14:paraId="58816065">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center"/>
              <w:textAlignment w:val="auto"/>
              <w:rPr>
                <w:rFonts w:hint="default" w:ascii="Times New Roman" w:hAnsi="Times New Roman" w:eastAsia="仿宋_GB2312" w:cs="Times New Roman"/>
                <w:sz w:val="21"/>
                <w:szCs w:val="21"/>
                <w:lang w:val="en-US" w:eastAsia="zh-CN"/>
              </w:rPr>
            </w:pPr>
          </w:p>
        </w:tc>
        <w:tc>
          <w:tcPr>
            <w:tcW w:w="1773" w:type="dxa"/>
            <w:noWrap w:val="0"/>
            <w:vAlign w:val="center"/>
          </w:tcPr>
          <w:p w14:paraId="4325701E">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结算与账期</w:t>
            </w:r>
          </w:p>
        </w:tc>
        <w:tc>
          <w:tcPr>
            <w:tcW w:w="3845" w:type="dxa"/>
            <w:noWrap w:val="0"/>
            <w:vAlign w:val="center"/>
          </w:tcPr>
          <w:p w14:paraId="2A347ACA">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left"/>
              <w:textAlignment w:val="auto"/>
              <w:rPr>
                <w:rFonts w:hint="default" w:ascii="Times New Roman" w:hAnsi="Times New Roman" w:eastAsia="仿宋_GB2312" w:cs="Times New Roman"/>
                <w:sz w:val="21"/>
                <w:szCs w:val="21"/>
                <w:lang w:val="en-US" w:eastAsia="zh-CN"/>
              </w:rPr>
            </w:pPr>
            <w:r>
              <w:rPr>
                <w:rFonts w:hint="default" w:ascii="Times New Roman" w:hAnsi="Times New Roman" w:cs="Times New Roman"/>
                <w:sz w:val="21"/>
                <w:szCs w:val="21"/>
                <w:lang w:val="en-US" w:eastAsia="zh-CN"/>
              </w:rPr>
              <w:t>结合</w:t>
            </w:r>
            <w:r>
              <w:rPr>
                <w:rFonts w:hint="default" w:ascii="Times New Roman" w:hAnsi="Times New Roman" w:eastAsia="仿宋_GB2312" w:cs="Times New Roman"/>
                <w:sz w:val="21"/>
                <w:szCs w:val="21"/>
              </w:rPr>
              <w:t>结算方式</w:t>
            </w:r>
            <w:r>
              <w:rPr>
                <w:rFonts w:hint="default" w:ascii="Times New Roman" w:hAnsi="Times New Roman" w:eastAsia="仿宋_GB2312" w:cs="Times New Roman"/>
                <w:sz w:val="21"/>
                <w:szCs w:val="21"/>
                <w:lang w:val="en-US" w:eastAsia="zh-CN"/>
              </w:rPr>
              <w:t>便利性</w:t>
            </w:r>
            <w:r>
              <w:rPr>
                <w:rFonts w:hint="default" w:ascii="Times New Roman" w:hAnsi="Times New Roman" w:eastAsia="仿宋_GB2312" w:cs="Times New Roman"/>
                <w:sz w:val="21"/>
                <w:szCs w:val="21"/>
              </w:rPr>
              <w:t>、账期接受度、发票合规性</w:t>
            </w:r>
            <w:r>
              <w:rPr>
                <w:rFonts w:hint="default" w:ascii="Times New Roman" w:hAnsi="Times New Roman" w:cs="Times New Roman"/>
                <w:sz w:val="21"/>
                <w:szCs w:val="21"/>
                <w:lang w:val="en-US" w:eastAsia="zh-CN"/>
              </w:rPr>
              <w:t>等进行横向比较</w:t>
            </w:r>
          </w:p>
        </w:tc>
        <w:tc>
          <w:tcPr>
            <w:tcW w:w="1377" w:type="dxa"/>
            <w:noWrap w:val="0"/>
            <w:vAlign w:val="center"/>
          </w:tcPr>
          <w:p w14:paraId="1831A9A4">
            <w:pPr>
              <w:numPr>
                <w:ilvl w:val="0"/>
                <w:numId w:val="0"/>
              </w:numPr>
              <w:spacing w:line="360" w:lineRule="auto"/>
              <w:ind w:left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10分</w:t>
            </w:r>
          </w:p>
        </w:tc>
      </w:tr>
      <w:tr w14:paraId="3B460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53" w:type="dxa"/>
            <w:vMerge w:val="restart"/>
            <w:noWrap w:val="0"/>
            <w:vAlign w:val="center"/>
          </w:tcPr>
          <w:p w14:paraId="19902662">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center"/>
              <w:textAlignment w:val="auto"/>
              <w:rPr>
                <w:rFonts w:hint="default" w:ascii="Times New Roman" w:hAnsi="Times New Roman" w:eastAsia="仿宋_GB2312" w:cs="Times New Roman"/>
                <w:sz w:val="21"/>
                <w:szCs w:val="21"/>
                <w:lang w:val="en-US" w:eastAsia="en-US"/>
              </w:rPr>
            </w:pPr>
            <w:r>
              <w:rPr>
                <w:rFonts w:hint="default" w:ascii="Times New Roman" w:hAnsi="Times New Roman" w:eastAsia="仿宋_GB2312" w:cs="Times New Roman"/>
                <w:sz w:val="21"/>
                <w:szCs w:val="21"/>
                <w:lang w:val="en-US" w:eastAsia="zh-CN"/>
              </w:rPr>
              <w:t>价格部分（20分）</w:t>
            </w:r>
          </w:p>
        </w:tc>
        <w:tc>
          <w:tcPr>
            <w:tcW w:w="1773" w:type="dxa"/>
            <w:noWrap w:val="0"/>
            <w:vAlign w:val="center"/>
          </w:tcPr>
          <w:p w14:paraId="2C7244DB">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center"/>
              <w:textAlignment w:val="auto"/>
              <w:rPr>
                <w:rFonts w:hint="default" w:ascii="Times New Roman" w:hAnsi="Times New Roman" w:eastAsia="仿宋_GB2312" w:cs="Times New Roman"/>
                <w:sz w:val="21"/>
                <w:szCs w:val="21"/>
                <w:lang w:val="en-US" w:eastAsia="en-US"/>
              </w:rPr>
            </w:pPr>
            <w:r>
              <w:rPr>
                <w:rFonts w:hint="default" w:ascii="Times New Roman" w:hAnsi="Times New Roman" w:cs="Times New Roman"/>
                <w:sz w:val="21"/>
                <w:szCs w:val="21"/>
                <w:lang w:val="en-US" w:eastAsia="zh-CN"/>
              </w:rPr>
              <w:t>租金</w:t>
            </w:r>
            <w:r>
              <w:rPr>
                <w:rFonts w:hint="default" w:ascii="Times New Roman" w:hAnsi="Times New Roman" w:eastAsia="仿宋_GB2312" w:cs="Times New Roman"/>
                <w:sz w:val="21"/>
                <w:szCs w:val="21"/>
              </w:rPr>
              <w:t>竞争力</w:t>
            </w:r>
          </w:p>
        </w:tc>
        <w:tc>
          <w:tcPr>
            <w:tcW w:w="3845" w:type="dxa"/>
            <w:noWrap w:val="0"/>
            <w:vAlign w:val="center"/>
          </w:tcPr>
          <w:p w14:paraId="0633A337">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left"/>
              <w:textAlignment w:val="auto"/>
              <w:rPr>
                <w:rFonts w:hint="default" w:ascii="Times New Roman" w:hAnsi="Times New Roman" w:eastAsia="仿宋_GB2312" w:cs="Times New Roman"/>
                <w:sz w:val="21"/>
                <w:szCs w:val="21"/>
                <w:lang w:val="en-US" w:eastAsia="zh-CN"/>
              </w:rPr>
            </w:pPr>
            <w:r>
              <w:rPr>
                <w:rFonts w:hint="default" w:ascii="Times New Roman" w:hAnsi="Times New Roman" w:cs="Times New Roman"/>
                <w:sz w:val="21"/>
                <w:szCs w:val="21"/>
                <w:lang w:val="en-US" w:eastAsia="zh-CN"/>
              </w:rPr>
              <w:t>各车型日</w:t>
            </w:r>
            <w:r>
              <w:rPr>
                <w:rFonts w:hint="default" w:ascii="Times New Roman" w:hAnsi="Times New Roman" w:eastAsia="仿宋_GB2312" w:cs="Times New Roman"/>
                <w:sz w:val="21"/>
                <w:szCs w:val="21"/>
                <w:lang w:val="en-US" w:eastAsia="zh-CN"/>
              </w:rPr>
              <w:t>租服务费</w:t>
            </w:r>
            <w:r>
              <w:rPr>
                <w:rFonts w:hint="default" w:ascii="Times New Roman" w:hAnsi="Times New Roman" w:cs="Times New Roman"/>
                <w:sz w:val="21"/>
                <w:szCs w:val="21"/>
                <w:lang w:val="en-US" w:eastAsia="zh-CN"/>
              </w:rPr>
              <w:t>的</w:t>
            </w:r>
            <w:r>
              <w:rPr>
                <w:rFonts w:hint="default" w:ascii="Times New Roman" w:hAnsi="Times New Roman" w:eastAsia="仿宋_GB2312" w:cs="Times New Roman"/>
                <w:sz w:val="21"/>
                <w:szCs w:val="21"/>
              </w:rPr>
              <w:t>均</w:t>
            </w:r>
            <w:r>
              <w:rPr>
                <w:rFonts w:hint="default" w:ascii="Times New Roman" w:hAnsi="Times New Roman" w:cs="Times New Roman"/>
                <w:sz w:val="21"/>
                <w:szCs w:val="21"/>
                <w:lang w:val="en-US" w:eastAsia="zh-CN"/>
              </w:rPr>
              <w:t>值</w:t>
            </w:r>
          </w:p>
        </w:tc>
        <w:tc>
          <w:tcPr>
            <w:tcW w:w="1377" w:type="dxa"/>
            <w:noWrap w:val="0"/>
            <w:vAlign w:val="center"/>
          </w:tcPr>
          <w:p w14:paraId="43F963B9">
            <w:pPr>
              <w:numPr>
                <w:ilvl w:val="0"/>
                <w:numId w:val="0"/>
              </w:numPr>
              <w:spacing w:line="360" w:lineRule="auto"/>
              <w:ind w:left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10分</w:t>
            </w:r>
          </w:p>
        </w:tc>
      </w:tr>
      <w:tr w14:paraId="1E74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53" w:type="dxa"/>
            <w:vMerge w:val="continue"/>
            <w:noWrap w:val="0"/>
            <w:vAlign w:val="center"/>
          </w:tcPr>
          <w:p w14:paraId="23BB04B0">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center"/>
              <w:textAlignment w:val="auto"/>
              <w:rPr>
                <w:rFonts w:hint="default" w:ascii="Times New Roman" w:hAnsi="Times New Roman" w:eastAsia="仿宋_GB2312" w:cs="Times New Roman"/>
                <w:sz w:val="21"/>
                <w:szCs w:val="21"/>
                <w:lang w:val="en-US" w:eastAsia="zh-CN"/>
              </w:rPr>
            </w:pPr>
          </w:p>
        </w:tc>
        <w:tc>
          <w:tcPr>
            <w:tcW w:w="1773" w:type="dxa"/>
            <w:noWrap w:val="0"/>
            <w:vAlign w:val="center"/>
          </w:tcPr>
          <w:p w14:paraId="1C69AB75">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折扣优惠</w:t>
            </w:r>
          </w:p>
        </w:tc>
        <w:tc>
          <w:tcPr>
            <w:tcW w:w="3845" w:type="dxa"/>
            <w:noWrap w:val="0"/>
            <w:vAlign w:val="center"/>
          </w:tcPr>
          <w:p w14:paraId="05B1AAA9">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left"/>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整体报价</w:t>
            </w:r>
            <w:r>
              <w:rPr>
                <w:rFonts w:hint="default" w:ascii="Times New Roman" w:hAnsi="Times New Roman" w:eastAsia="仿宋_GB2312" w:cs="Times New Roman"/>
                <w:sz w:val="21"/>
                <w:szCs w:val="21"/>
              </w:rPr>
              <w:t>折扣</w:t>
            </w:r>
          </w:p>
        </w:tc>
        <w:tc>
          <w:tcPr>
            <w:tcW w:w="1377" w:type="dxa"/>
            <w:noWrap w:val="0"/>
            <w:vAlign w:val="center"/>
          </w:tcPr>
          <w:p w14:paraId="781FEE9F">
            <w:pPr>
              <w:numPr>
                <w:ilvl w:val="0"/>
                <w:numId w:val="0"/>
              </w:numPr>
              <w:spacing w:line="360" w:lineRule="auto"/>
              <w:ind w:left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10分</w:t>
            </w:r>
          </w:p>
        </w:tc>
      </w:tr>
      <w:tr w14:paraId="2873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6871" w:type="dxa"/>
            <w:gridSpan w:val="3"/>
            <w:noWrap w:val="0"/>
            <w:vAlign w:val="center"/>
          </w:tcPr>
          <w:p w14:paraId="3E051C6A">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center"/>
              <w:textAlignment w:val="auto"/>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合计</w:t>
            </w:r>
          </w:p>
        </w:tc>
        <w:tc>
          <w:tcPr>
            <w:tcW w:w="1377" w:type="dxa"/>
            <w:noWrap w:val="0"/>
            <w:vAlign w:val="center"/>
          </w:tcPr>
          <w:p w14:paraId="6C37D0FE">
            <w:pPr>
              <w:numPr>
                <w:ilvl w:val="0"/>
                <w:numId w:val="0"/>
              </w:numPr>
              <w:spacing w:line="360" w:lineRule="auto"/>
              <w:ind w:leftChars="0"/>
              <w:jc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100分</w:t>
            </w:r>
          </w:p>
        </w:tc>
      </w:tr>
    </w:tbl>
    <w:p w14:paraId="5960E24E">
      <w:pPr>
        <w:keepNext w:val="0"/>
        <w:keepLines w:val="0"/>
        <w:pageBreakBefore w:val="0"/>
        <w:widowControl/>
        <w:kinsoku/>
        <w:wordWrap/>
        <w:overflowPunct/>
        <w:topLinePunct w:val="0"/>
        <w:autoSpaceDE/>
        <w:autoSpaceDN/>
        <w:bidi w:val="0"/>
        <w:adjustRightInd/>
        <w:snapToGrid/>
        <w:spacing w:before="240" w:after="120"/>
        <w:ind w:firstLine="643" w:firstLineChars="200"/>
        <w:textAlignment w:val="auto"/>
        <w:rPr>
          <w:rFonts w:hint="default" w:ascii="Times New Roman" w:hAnsi="Times New Roman" w:eastAsia="黑体" w:cs="Times New Roman"/>
          <w:b/>
          <w:sz w:val="32"/>
          <w:lang w:val="en-US" w:eastAsia="zh-CN"/>
        </w:rPr>
      </w:pPr>
      <w:r>
        <w:rPr>
          <w:rFonts w:hint="default" w:ascii="Times New Roman" w:hAnsi="Times New Roman" w:eastAsia="黑体" w:cs="Times New Roman"/>
          <w:b/>
          <w:sz w:val="32"/>
          <w:lang w:val="en-US" w:eastAsia="zh-CN"/>
        </w:rPr>
        <w:t>四</w:t>
      </w:r>
      <w:r>
        <w:rPr>
          <w:rFonts w:hint="default" w:ascii="Times New Roman" w:hAnsi="Times New Roman" w:eastAsia="黑体" w:cs="Times New Roman"/>
          <w:b/>
          <w:sz w:val="32"/>
        </w:rPr>
        <w:t>、</w:t>
      </w:r>
      <w:r>
        <w:rPr>
          <w:rFonts w:hint="default" w:ascii="Times New Roman" w:hAnsi="Times New Roman" w:eastAsia="黑体" w:cs="Times New Roman"/>
          <w:b/>
          <w:sz w:val="32"/>
          <w:lang w:val="en-US" w:eastAsia="zh-CN"/>
        </w:rPr>
        <w:t>响应文件</w:t>
      </w:r>
    </w:p>
    <w:p w14:paraId="0D1C0C91">
      <w:pPr>
        <w:keepNext w:val="0"/>
        <w:keepLines w:val="0"/>
        <w:pageBreakBefore w:val="0"/>
        <w:widowControl/>
        <w:kinsoku/>
        <w:wordWrap/>
        <w:overflowPunct/>
        <w:topLinePunct w:val="0"/>
        <w:autoSpaceDE/>
        <w:autoSpaceDN/>
        <w:bidi w:val="0"/>
        <w:adjustRightInd/>
        <w:snapToGrid/>
        <w:spacing w:before="240" w:after="120"/>
        <w:ind w:firstLine="640" w:firstLineChars="200"/>
        <w:textAlignment w:val="auto"/>
        <w:rPr>
          <w:rFonts w:hint="default" w:ascii="Times New Roman" w:hAnsi="Times New Roman" w:eastAsia="仿宋_GB2312" w:cs="Times New Roman"/>
          <w:b w:val="0"/>
          <w:bCs/>
          <w:sz w:val="32"/>
          <w:lang w:val="en-US" w:eastAsia="zh-CN"/>
        </w:rPr>
      </w:pPr>
      <w:r>
        <w:rPr>
          <w:rFonts w:hint="default" w:ascii="Times New Roman" w:hAnsi="Times New Roman" w:eastAsia="仿宋_GB2312" w:cs="Times New Roman"/>
          <w:b w:val="0"/>
          <w:bCs/>
          <w:sz w:val="32"/>
          <w:lang w:val="en-US" w:eastAsia="zh-CN"/>
        </w:rPr>
        <w:t>参与本项目的供应商须提供以下资料</w:t>
      </w:r>
      <w:r>
        <w:rPr>
          <w:rFonts w:hint="default" w:ascii="Times New Roman" w:hAnsi="Times New Roman" w:cs="Times New Roman"/>
          <w:b w:val="0"/>
          <w:bCs/>
          <w:sz w:val="32"/>
          <w:lang w:val="en-US" w:eastAsia="zh-CN"/>
        </w:rPr>
        <w:t>，并加盖公章</w:t>
      </w:r>
      <w:r>
        <w:rPr>
          <w:rFonts w:hint="default" w:ascii="Times New Roman" w:hAnsi="Times New Roman" w:eastAsia="仿宋_GB2312" w:cs="Times New Roman"/>
          <w:b w:val="0"/>
          <w:bCs/>
          <w:sz w:val="32"/>
          <w:lang w:val="en-US" w:eastAsia="zh-CN"/>
        </w:rPr>
        <w:t>：</w:t>
      </w:r>
    </w:p>
    <w:p w14:paraId="740D1F18">
      <w:pPr>
        <w:keepNext w:val="0"/>
        <w:keepLines w:val="0"/>
        <w:pageBreakBefore w:val="0"/>
        <w:widowControl/>
        <w:kinsoku/>
        <w:wordWrap/>
        <w:overflowPunct/>
        <w:topLinePunct w:val="0"/>
        <w:autoSpaceDE/>
        <w:autoSpaceDN/>
        <w:bidi w:val="0"/>
        <w:adjustRightInd/>
        <w:snapToGrid/>
        <w:spacing w:before="240" w:after="120"/>
        <w:ind w:firstLine="640" w:firstLineChars="200"/>
        <w:textAlignment w:val="auto"/>
        <w:rPr>
          <w:rFonts w:hint="default" w:ascii="Times New Roman" w:hAnsi="Times New Roman" w:cs="Times New Roman"/>
          <w:b w:val="0"/>
          <w:bCs/>
          <w:sz w:val="32"/>
          <w:lang w:val="en-US" w:eastAsia="zh-CN"/>
        </w:rPr>
      </w:pPr>
      <w:r>
        <w:rPr>
          <w:rFonts w:hint="default" w:ascii="Times New Roman" w:hAnsi="Times New Roman" w:cs="Times New Roman"/>
          <w:b w:val="0"/>
          <w:bCs/>
          <w:sz w:val="32"/>
          <w:lang w:val="en-US" w:eastAsia="zh-CN"/>
        </w:rPr>
        <w:t>（一）企业营业执照副本</w:t>
      </w:r>
    </w:p>
    <w:p w14:paraId="23F78C70">
      <w:pPr>
        <w:keepNext w:val="0"/>
        <w:keepLines w:val="0"/>
        <w:pageBreakBefore w:val="0"/>
        <w:widowControl/>
        <w:kinsoku/>
        <w:wordWrap/>
        <w:overflowPunct/>
        <w:topLinePunct w:val="0"/>
        <w:autoSpaceDE/>
        <w:autoSpaceDN/>
        <w:bidi w:val="0"/>
        <w:adjustRightInd/>
        <w:snapToGrid/>
        <w:spacing w:before="240" w:after="120"/>
        <w:ind w:firstLine="640" w:firstLineChars="200"/>
        <w:textAlignment w:val="auto"/>
        <w:rPr>
          <w:rFonts w:hint="default" w:ascii="Times New Roman" w:hAnsi="Times New Roman" w:cs="Times New Roman"/>
          <w:b w:val="0"/>
          <w:bCs/>
          <w:sz w:val="32"/>
          <w:lang w:val="en-US" w:eastAsia="zh-CN"/>
        </w:rPr>
      </w:pPr>
      <w:r>
        <w:rPr>
          <w:rFonts w:hint="default" w:ascii="Times New Roman" w:hAnsi="Times New Roman" w:cs="Times New Roman"/>
          <w:b w:val="0"/>
          <w:bCs/>
          <w:sz w:val="32"/>
          <w:lang w:val="en-US" w:eastAsia="zh-CN"/>
        </w:rPr>
        <w:t>（二）供应商资格条件第1-2项的承诺函（格式自拟）</w:t>
      </w:r>
    </w:p>
    <w:p w14:paraId="430661FE">
      <w:pPr>
        <w:keepNext w:val="0"/>
        <w:keepLines w:val="0"/>
        <w:pageBreakBefore w:val="0"/>
        <w:widowControl/>
        <w:kinsoku/>
        <w:wordWrap/>
        <w:overflowPunct/>
        <w:topLinePunct w:val="0"/>
        <w:autoSpaceDE/>
        <w:autoSpaceDN/>
        <w:bidi w:val="0"/>
        <w:adjustRightInd/>
        <w:snapToGrid/>
        <w:spacing w:before="240" w:after="120"/>
        <w:ind w:firstLine="640" w:firstLineChars="200"/>
        <w:textAlignment w:val="auto"/>
        <w:rPr>
          <w:rFonts w:hint="default" w:ascii="Times New Roman" w:hAnsi="Times New Roman" w:eastAsia="仿宋_GB2312" w:cs="Times New Roman"/>
          <w:b w:val="0"/>
          <w:bCs/>
          <w:sz w:val="32"/>
          <w:lang w:val="en-US" w:eastAsia="zh-CN"/>
        </w:rPr>
      </w:pPr>
      <w:r>
        <w:rPr>
          <w:rFonts w:hint="default" w:ascii="Times New Roman" w:hAnsi="Times New Roman" w:cs="Times New Roman"/>
          <w:b w:val="0"/>
          <w:bCs/>
          <w:sz w:val="32"/>
          <w:lang w:val="en-US" w:eastAsia="zh-CN"/>
        </w:rPr>
        <w:t>（三）</w:t>
      </w:r>
      <w:r>
        <w:rPr>
          <w:rFonts w:hint="default" w:ascii="Times New Roman" w:hAnsi="Times New Roman" w:cs="Times New Roman"/>
          <w:sz w:val="32"/>
          <w:szCs w:val="32"/>
          <w:lang w:val="en-US" w:eastAsia="zh-CN"/>
        </w:rPr>
        <w:t>车辆</w:t>
      </w:r>
      <w:r>
        <w:rPr>
          <w:rFonts w:hint="default" w:ascii="Times New Roman" w:hAnsi="Times New Roman" w:eastAsia="仿宋_GB2312" w:cs="Times New Roman"/>
          <w:sz w:val="32"/>
          <w:szCs w:val="32"/>
        </w:rPr>
        <w:t>租赁经营备案证明</w:t>
      </w:r>
      <w:r>
        <w:rPr>
          <w:rFonts w:hint="default" w:ascii="Times New Roman" w:hAnsi="Times New Roman" w:cs="Times New Roman"/>
          <w:sz w:val="32"/>
          <w:szCs w:val="32"/>
          <w:lang w:val="en-US" w:eastAsia="zh-CN"/>
        </w:rPr>
        <w:t>文件</w:t>
      </w:r>
    </w:p>
    <w:p w14:paraId="469FDB28">
      <w:pPr>
        <w:keepNext w:val="0"/>
        <w:keepLines w:val="0"/>
        <w:pageBreakBefore w:val="0"/>
        <w:widowControl/>
        <w:kinsoku/>
        <w:wordWrap/>
        <w:overflowPunct/>
        <w:topLinePunct w:val="0"/>
        <w:autoSpaceDE/>
        <w:autoSpaceDN/>
        <w:bidi w:val="0"/>
        <w:adjustRightInd/>
        <w:snapToGrid/>
        <w:spacing w:before="240" w:after="120"/>
        <w:ind w:firstLine="640" w:firstLineChars="200"/>
        <w:textAlignment w:val="auto"/>
        <w:rPr>
          <w:rFonts w:hint="default" w:ascii="Times New Roman" w:hAnsi="Times New Roman" w:cs="Times New Roman"/>
          <w:b w:val="0"/>
          <w:bCs/>
          <w:sz w:val="32"/>
          <w:lang w:val="en-US" w:eastAsia="zh-CN"/>
        </w:rPr>
      </w:pPr>
      <w:r>
        <w:rPr>
          <w:rFonts w:hint="default" w:ascii="Times New Roman" w:hAnsi="Times New Roman" w:cs="Times New Roman"/>
          <w:b w:val="0"/>
          <w:bCs/>
          <w:sz w:val="32"/>
          <w:lang w:val="en-US" w:eastAsia="zh-CN"/>
        </w:rPr>
        <w:t>（四）按照本项目《采购需求》第1-5项进行逐项响应并说明</w:t>
      </w:r>
    </w:p>
    <w:p w14:paraId="55DE20B2">
      <w:pPr>
        <w:keepNext w:val="0"/>
        <w:keepLines w:val="0"/>
        <w:pageBreakBefore w:val="0"/>
        <w:widowControl/>
        <w:kinsoku/>
        <w:wordWrap/>
        <w:overflowPunct/>
        <w:topLinePunct w:val="0"/>
        <w:autoSpaceDE/>
        <w:autoSpaceDN/>
        <w:bidi w:val="0"/>
        <w:adjustRightInd/>
        <w:snapToGrid/>
        <w:spacing w:before="240" w:after="120"/>
        <w:ind w:firstLine="640" w:firstLineChars="200"/>
        <w:textAlignment w:val="auto"/>
        <w:rPr>
          <w:rFonts w:hint="default" w:ascii="Times New Roman" w:hAnsi="Times New Roman" w:cs="Times New Roman"/>
          <w:b w:val="0"/>
          <w:bCs/>
          <w:sz w:val="32"/>
          <w:lang w:val="en-US" w:eastAsia="zh-CN"/>
        </w:rPr>
      </w:pPr>
      <w:r>
        <w:rPr>
          <w:rFonts w:hint="default" w:ascii="Times New Roman" w:hAnsi="Times New Roman" w:cs="Times New Roman"/>
          <w:b w:val="0"/>
          <w:bCs/>
          <w:sz w:val="32"/>
          <w:lang w:val="en-US" w:eastAsia="zh-CN"/>
        </w:rPr>
        <w:t>（五）报价函（格式自拟）</w:t>
      </w:r>
    </w:p>
    <w:p w14:paraId="5B61B796">
      <w:pPr>
        <w:keepNext w:val="0"/>
        <w:keepLines w:val="0"/>
        <w:pageBreakBefore w:val="0"/>
        <w:widowControl/>
        <w:kinsoku/>
        <w:wordWrap/>
        <w:overflowPunct/>
        <w:topLinePunct w:val="0"/>
        <w:autoSpaceDE/>
        <w:autoSpaceDN/>
        <w:bidi w:val="0"/>
        <w:adjustRightInd/>
        <w:snapToGrid/>
        <w:spacing w:before="240" w:after="120"/>
        <w:ind w:firstLine="640" w:firstLineChars="200"/>
        <w:textAlignment w:val="auto"/>
        <w:rPr>
          <w:rFonts w:hint="default" w:ascii="Times New Roman" w:hAnsi="Times New Roman" w:cs="Times New Roman"/>
          <w:b w:val="0"/>
          <w:bCs/>
          <w:sz w:val="32"/>
          <w:lang w:val="en-US" w:eastAsia="zh-CN"/>
        </w:rPr>
      </w:pPr>
      <w:r>
        <w:rPr>
          <w:rFonts w:hint="default" w:ascii="Times New Roman" w:hAnsi="Times New Roman" w:cs="Times New Roman"/>
          <w:b w:val="0"/>
          <w:bCs/>
          <w:sz w:val="32"/>
          <w:lang w:val="en-US" w:eastAsia="zh-CN"/>
        </w:rPr>
        <w:t>（六）其他需要说明的情况</w:t>
      </w:r>
    </w:p>
    <w:p w14:paraId="37C4C834">
      <w:pPr>
        <w:keepNext w:val="0"/>
        <w:keepLines w:val="0"/>
        <w:pageBreakBefore w:val="0"/>
        <w:widowControl/>
        <w:kinsoku/>
        <w:wordWrap/>
        <w:overflowPunct/>
        <w:topLinePunct w:val="0"/>
        <w:autoSpaceDE/>
        <w:autoSpaceDN/>
        <w:bidi w:val="0"/>
        <w:adjustRightInd/>
        <w:snapToGrid/>
        <w:spacing w:before="240" w:after="120"/>
        <w:ind w:firstLine="640" w:firstLineChars="200"/>
        <w:textAlignment w:val="auto"/>
        <w:rPr>
          <w:rFonts w:hint="default" w:ascii="Times New Roman" w:hAnsi="Times New Roman" w:cs="Times New Roman"/>
          <w:b w:val="0"/>
          <w:bCs/>
          <w:sz w:val="32"/>
          <w:lang w:val="en-US" w:eastAsia="zh-CN"/>
        </w:rPr>
      </w:pPr>
    </w:p>
    <w:p w14:paraId="66116ED5">
      <w:pPr>
        <w:jc w:val="right"/>
        <w:rPr>
          <w:rFonts w:hint="default" w:ascii="Times New Roman" w:hAnsi="Times New Roman" w:eastAsia="仿宋_GB2312" w:cs="Times New Roman"/>
          <w:sz w:val="32"/>
        </w:rPr>
      </w:pPr>
    </w:p>
    <w:p w14:paraId="153C5804">
      <w:pPr>
        <w:jc w:val="right"/>
        <w:rPr>
          <w:rFonts w:hint="default" w:ascii="Times New Roman" w:hAnsi="Times New Roman" w:eastAsia="仿宋_GB2312" w:cs="Times New Roman"/>
          <w:sz w:val="32"/>
        </w:rPr>
      </w:pPr>
    </w:p>
    <w:p w14:paraId="6204B18F">
      <w:pPr>
        <w:rPr>
          <w:rFonts w:hint="default" w:ascii="Times New Roman" w:hAnsi="Times New Roman" w:cs="Times New Roman"/>
          <w:lang w:val="en-US" w:eastAsia="zh-CN"/>
        </w:rPr>
      </w:pPr>
    </w:p>
    <w:p w14:paraId="59E561B8">
      <w:pPr>
        <w:rPr>
          <w:rFonts w:hint="default" w:ascii="Times New Roman" w:hAnsi="Times New Roman" w:cs="Times New Roman"/>
          <w:lang w:val="en-US" w:eastAsia="zh-CN"/>
        </w:rPr>
      </w:pPr>
    </w:p>
    <w:p w14:paraId="024430DD">
      <w:pPr>
        <w:rPr>
          <w:rFonts w:hint="default" w:ascii="Times New Roman" w:hAnsi="Times New Roman" w:cs="Times New Roman"/>
          <w:lang w:val="en-US" w:eastAsia="zh-CN"/>
        </w:rPr>
      </w:pPr>
    </w:p>
    <w:p w14:paraId="523E6E28">
      <w:pPr>
        <w:rPr>
          <w:rFonts w:hint="default" w:ascii="Times New Roman" w:hAnsi="Times New Roman" w:cs="Times New Roman"/>
          <w:lang w:val="en-US" w:eastAsia="zh-CN"/>
        </w:rPr>
      </w:pPr>
    </w:p>
    <w:p w14:paraId="1887A2CA">
      <w:pPr>
        <w:rPr>
          <w:rFonts w:hint="eastAsia"/>
          <w:lang w:val="en-US" w:eastAsia="zh-CN"/>
        </w:rPr>
      </w:pPr>
    </w:p>
    <w:p w14:paraId="2D740220">
      <w:pPr>
        <w:rPr>
          <w:rFonts w:hint="eastAsia" w:eastAsia="仿宋_GB2312"/>
          <w:lang w:eastAsia="zh-CN"/>
        </w:rPr>
      </w:pPr>
    </w:p>
    <w:p w14:paraId="588DD3B7">
      <w:r>
        <w:br w:type="page"/>
      </w:r>
    </w:p>
    <w:p w14:paraId="5AADA418">
      <w:pPr>
        <w:sectPr>
          <w:pgSz w:w="12240" w:h="15840"/>
          <w:pgMar w:top="1814" w:right="1474" w:bottom="1701" w:left="1587" w:header="720" w:footer="720" w:gutter="0"/>
          <w:cols w:space="720" w:num="1"/>
          <w:docGrid w:linePitch="360" w:charSpace="0"/>
        </w:sectPr>
      </w:pPr>
    </w:p>
    <w:p w14:paraId="227CB1A4">
      <w:r>
        <w:rPr>
          <w:rFonts w:hint="eastAsia" w:eastAsia="仿宋_GB2312"/>
          <w:lang w:eastAsia="zh-CN"/>
        </w:rPr>
        <w:drawing>
          <wp:anchor distT="0" distB="0" distL="114300" distR="114300" simplePos="0" relativeHeight="251659264" behindDoc="1" locked="0" layoutInCell="1" allowOverlap="1">
            <wp:simplePos x="0" y="0"/>
            <wp:positionH relativeFrom="column">
              <wp:posOffset>0</wp:posOffset>
            </wp:positionH>
            <wp:positionV relativeFrom="page">
              <wp:posOffset>1191260</wp:posOffset>
            </wp:positionV>
            <wp:extent cx="8180070" cy="5565140"/>
            <wp:effectExtent l="0" t="0" r="11430" b="16510"/>
            <wp:wrapNone/>
            <wp:docPr id="1" name="图片 1" descr="广东省农业融资担保有限责任公司36个重点县办事处设置情况表20251204（发综合部）_名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广东省农业融资担保有限责任公司36个重点县办事处设置情况表20251204（发综合部）_名单"/>
                    <pic:cNvPicPr>
                      <a:picLocks noChangeAspect="1"/>
                    </pic:cNvPicPr>
                  </pic:nvPicPr>
                  <pic:blipFill>
                    <a:blip r:embed="rId6"/>
                    <a:stretch>
                      <a:fillRect/>
                    </a:stretch>
                  </pic:blipFill>
                  <pic:spPr>
                    <a:xfrm>
                      <a:off x="0" y="0"/>
                      <a:ext cx="8180070" cy="5565140"/>
                    </a:xfrm>
                    <a:prstGeom prst="rect">
                      <a:avLst/>
                    </a:prstGeom>
                  </pic:spPr>
                </pic:pic>
              </a:graphicData>
            </a:graphic>
          </wp:anchor>
        </w:drawing>
      </w:r>
      <w:r>
        <w:rPr>
          <w:rFonts w:hint="eastAsia"/>
          <w:lang w:val="en-US" w:eastAsia="zh-CN"/>
        </w:rPr>
        <w:t>附件1-1：</w:t>
      </w:r>
    </w:p>
    <w:p w14:paraId="420F7697"/>
    <w:sectPr>
      <w:pgSz w:w="15840" w:h="12240" w:orient="landscape"/>
      <w:pgMar w:top="1800" w:right="1440" w:bottom="180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MS Gothic">
    <w:panose1 w:val="020B0609070205080204"/>
    <w:charset w:val="80"/>
    <w:family w:val="auto"/>
    <w:pitch w:val="default"/>
    <w:sig w:usb0="E00002FF" w:usb1="6AC7FDFB" w:usb2="08000012" w:usb3="00000000" w:csb0="4002009F" w:csb1="DFD70000"/>
  </w:font>
  <w:font w:name="Courier">
    <w:altName w:val="Courier New"/>
    <w:panose1 w:val="02000500000000000000"/>
    <w:charset w:val="00"/>
    <w:family w:val="auto"/>
    <w:pitch w:val="default"/>
    <w:sig w:usb0="00000000" w:usb1="00000000" w:usb2="00000000" w:usb3="00000000" w:csb0="00000001" w:csb1="00000000"/>
  </w:font>
  <w:font w:name="ＭＳ 明朝">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Cambria">
    <w:panose1 w:val="02040503050406030204"/>
    <w:charset w:val="00"/>
    <w:family w:val="auto"/>
    <w:pitch w:val="default"/>
    <w:sig w:usb0="E00006FF" w:usb1="420024FF" w:usb2="02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02814876"/>
    <w:rsid w:val="02CF72A7"/>
    <w:rsid w:val="03A964DC"/>
    <w:rsid w:val="0E2C1C82"/>
    <w:rsid w:val="0FBB35A1"/>
    <w:rsid w:val="10134CDE"/>
    <w:rsid w:val="113D0264"/>
    <w:rsid w:val="16696D72"/>
    <w:rsid w:val="1CCE614C"/>
    <w:rsid w:val="1E7D4409"/>
    <w:rsid w:val="211649B3"/>
    <w:rsid w:val="24810EC0"/>
    <w:rsid w:val="24976409"/>
    <w:rsid w:val="252927B4"/>
    <w:rsid w:val="260D4251"/>
    <w:rsid w:val="26962499"/>
    <w:rsid w:val="28F61252"/>
    <w:rsid w:val="30977539"/>
    <w:rsid w:val="31DE4CF4"/>
    <w:rsid w:val="32F6606D"/>
    <w:rsid w:val="3E7616FD"/>
    <w:rsid w:val="40C902B3"/>
    <w:rsid w:val="43562D62"/>
    <w:rsid w:val="44007E3C"/>
    <w:rsid w:val="4D490F4F"/>
    <w:rsid w:val="4F961C0D"/>
    <w:rsid w:val="5DE923AB"/>
    <w:rsid w:val="5F6854E4"/>
    <w:rsid w:val="64EA7626"/>
    <w:rsid w:val="65A20D42"/>
    <w:rsid w:val="67446DCC"/>
    <w:rsid w:val="6A042EF7"/>
    <w:rsid w:val="709053CD"/>
    <w:rsid w:val="73697BBA"/>
    <w:rsid w:val="77D76D39"/>
    <w:rsid w:val="77F774F0"/>
    <w:rsid w:val="78D305B8"/>
    <w:rsid w:val="7E4C5BA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仿宋_GB2312" w:hAnsi="仿宋_GB2312" w:eastAsia="仿宋_GB2312" w:cstheme="minorBidi"/>
      <w:sz w:val="32"/>
      <w:szCs w:val="22"/>
      <w:lang w:val="en-US" w:eastAsia="en-US" w:bidi="ar-SA"/>
    </w:rPr>
  </w:style>
  <w:style w:type="paragraph" w:styleId="3">
    <w:name w:val="heading 1"/>
    <w:basedOn w:val="1"/>
    <w:next w:val="1"/>
    <w:link w:val="139"/>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40"/>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1"/>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1"/>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2"/>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3"/>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4"/>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5"/>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6"/>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3">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macro"/>
    <w:link w:val="148"/>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7"/>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5"/>
    <w:unhideWhenUsed/>
    <w:qFormat/>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7"/>
    <w:unhideWhenUsed/>
    <w:qFormat/>
    <w:uiPriority w:val="99"/>
    <w:pPr>
      <w:tabs>
        <w:tab w:val="center" w:pos="4680"/>
        <w:tab w:val="right" w:pos="9360"/>
      </w:tabs>
      <w:spacing w:after="0" w:line="240" w:lineRule="auto"/>
    </w:pPr>
  </w:style>
  <w:style w:type="paragraph" w:styleId="25">
    <w:name w:val="header"/>
    <w:basedOn w:val="1"/>
    <w:link w:val="136"/>
    <w:unhideWhenUsed/>
    <w:qFormat/>
    <w:uiPriority w:val="99"/>
    <w:pPr>
      <w:tabs>
        <w:tab w:val="center" w:pos="4680"/>
        <w:tab w:val="right" w:pos="9360"/>
      </w:tabs>
      <w:spacing w:after="0" w:line="240" w:lineRule="auto"/>
    </w:pPr>
  </w:style>
  <w:style w:type="paragraph" w:styleId="26">
    <w:name w:val="Subtitle"/>
    <w:basedOn w:val="1"/>
    <w:next w:val="1"/>
    <w:link w:val="143"/>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6"/>
    <w:unhideWhenUsed/>
    <w:qFormat/>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31">
    <w:name w:val="List Continue 3"/>
    <w:basedOn w:val="1"/>
    <w:unhideWhenUsed/>
    <w:qFormat/>
    <w:uiPriority w:val="99"/>
    <w:pPr>
      <w:spacing w:after="120"/>
      <w:ind w:left="1080"/>
      <w:contextualSpacing/>
    </w:pPr>
  </w:style>
  <w:style w:type="paragraph" w:styleId="32">
    <w:name w:val="Title"/>
    <w:basedOn w:val="1"/>
    <w:next w:val="1"/>
    <w:link w:val="142"/>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4">
    <w:name w:val="Table Grid"/>
    <w:basedOn w:val="3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5">
    <w:name w:val="Light Shading"/>
    <w:basedOn w:val="33"/>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6">
    <w:name w:val="Light Shading Accent 1"/>
    <w:basedOn w:val="33"/>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7">
    <w:name w:val="Light Shading Accent 2"/>
    <w:basedOn w:val="33"/>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8">
    <w:name w:val="Light Shading Accent 3"/>
    <w:basedOn w:val="33"/>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9">
    <w:name w:val="Light Shading Accent 4"/>
    <w:basedOn w:val="33"/>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0">
    <w:name w:val="Light Shading Accent 5"/>
    <w:basedOn w:val="33"/>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1">
    <w:name w:val="Light Shading Accent 6"/>
    <w:basedOn w:val="33"/>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2">
    <w:name w:val="Light List"/>
    <w:basedOn w:val="33"/>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3">
    <w:name w:val="Light List Accent 1"/>
    <w:basedOn w:val="33"/>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4">
    <w:name w:val="Light List Accent 2"/>
    <w:basedOn w:val="33"/>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5">
    <w:name w:val="Light List Accent 3"/>
    <w:basedOn w:val="33"/>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6">
    <w:name w:val="Light List Accent 4"/>
    <w:basedOn w:val="33"/>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7">
    <w:name w:val="Light List Accent 5"/>
    <w:basedOn w:val="33"/>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8">
    <w:name w:val="Light List Accent 6"/>
    <w:basedOn w:val="33"/>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9">
    <w:name w:val="Light Grid"/>
    <w:basedOn w:val="33"/>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50">
    <w:name w:val="Light Grid Accent 1"/>
    <w:basedOn w:val="33"/>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1">
    <w:name w:val="Light Grid Accent 2"/>
    <w:basedOn w:val="33"/>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2">
    <w:name w:val="Light Grid Accent 3"/>
    <w:basedOn w:val="33"/>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3">
    <w:name w:val="Light Grid Accent 4"/>
    <w:basedOn w:val="33"/>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4">
    <w:name w:val="Light Grid Accent 5"/>
    <w:basedOn w:val="33"/>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5">
    <w:name w:val="Light Grid Accent 6"/>
    <w:basedOn w:val="33"/>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6">
    <w:name w:val="Medium Shading 1"/>
    <w:basedOn w:val="33"/>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7">
    <w:name w:val="Medium Shading 1 Accent 1"/>
    <w:basedOn w:val="33"/>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8">
    <w:name w:val="Medium Shading 1 Accent 2"/>
    <w:basedOn w:val="33"/>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9">
    <w:name w:val="Medium Shading 1 Accent 3"/>
    <w:basedOn w:val="33"/>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0">
    <w:name w:val="Medium Shading 1 Accent 4"/>
    <w:basedOn w:val="33"/>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1">
    <w:name w:val="Medium Shading 1 Accent 5"/>
    <w:basedOn w:val="33"/>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2">
    <w:name w:val="Medium Shading 1 Accent 6"/>
    <w:basedOn w:val="33"/>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3">
    <w:name w:val="Medium Shading 2"/>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1"/>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2"/>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3"/>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4"/>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5"/>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Shading 2 Accent 6"/>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0">
    <w:name w:val="Medium List 1"/>
    <w:basedOn w:val="33"/>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1">
    <w:name w:val="Medium List 1 Accent 1"/>
    <w:basedOn w:val="33"/>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2">
    <w:name w:val="Medium List 1 Accent 2"/>
    <w:basedOn w:val="33"/>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3">
    <w:name w:val="Medium List 1 Accent 3"/>
    <w:basedOn w:val="33"/>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4">
    <w:name w:val="Medium List 1 Accent 4"/>
    <w:basedOn w:val="33"/>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5">
    <w:name w:val="Medium List 1 Accent 5"/>
    <w:basedOn w:val="33"/>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6">
    <w:name w:val="Medium List 1 Accent 6"/>
    <w:basedOn w:val="33"/>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7">
    <w:name w:val="Medium List 2"/>
    <w:basedOn w:val="33"/>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1"/>
    <w:basedOn w:val="33"/>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2"/>
    <w:basedOn w:val="33"/>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3"/>
    <w:basedOn w:val="33"/>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4"/>
    <w:basedOn w:val="33"/>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5"/>
    <w:basedOn w:val="33"/>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List 2 Accent 6"/>
    <w:basedOn w:val="33"/>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4">
    <w:name w:val="Medium Grid 1"/>
    <w:basedOn w:val="33"/>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5">
    <w:name w:val="Medium Grid 1 Accent 1"/>
    <w:basedOn w:val="33"/>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6">
    <w:name w:val="Medium Grid 1 Accent 2"/>
    <w:basedOn w:val="33"/>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7">
    <w:name w:val="Medium Grid 1 Accent 3"/>
    <w:basedOn w:val="33"/>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8">
    <w:name w:val="Medium Grid 1 Accent 4"/>
    <w:basedOn w:val="33"/>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9">
    <w:name w:val="Medium Grid 1 Accent 5"/>
    <w:basedOn w:val="33"/>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90">
    <w:name w:val="Medium Grid 1 Accent 6"/>
    <w:basedOn w:val="33"/>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w:basedOn w:val="33"/>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2">
    <w:name w:val="Medium Grid 2 Accent 1"/>
    <w:basedOn w:val="33"/>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3">
    <w:name w:val="Medium Grid 2 Accent 2"/>
    <w:basedOn w:val="33"/>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4">
    <w:name w:val="Medium Grid 2 Accent 3"/>
    <w:basedOn w:val="33"/>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5">
    <w:name w:val="Medium Grid 2 Accent 4"/>
    <w:basedOn w:val="33"/>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6">
    <w:name w:val="Medium Grid 2 Accent 5"/>
    <w:basedOn w:val="33"/>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7">
    <w:name w:val="Medium Grid 2 Accent 6"/>
    <w:basedOn w:val="33"/>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8">
    <w:name w:val="Medium Grid 3"/>
    <w:basedOn w:val="33"/>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9">
    <w:name w:val="Medium Grid 3 Accent 1"/>
    <w:basedOn w:val="33"/>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00">
    <w:name w:val="Medium Grid 3 Accent 2"/>
    <w:basedOn w:val="33"/>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1">
    <w:name w:val="Medium Grid 3 Accent 3"/>
    <w:basedOn w:val="33"/>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2">
    <w:name w:val="Medium Grid 3 Accent 4"/>
    <w:basedOn w:val="33"/>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3">
    <w:name w:val="Medium Grid 3 Accent 5"/>
    <w:basedOn w:val="33"/>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4">
    <w:name w:val="Medium Grid 3 Accent 6"/>
    <w:basedOn w:val="33"/>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5">
    <w:name w:val="Dark List"/>
    <w:basedOn w:val="33"/>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6">
    <w:name w:val="Dark List Accent 1"/>
    <w:basedOn w:val="33"/>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7">
    <w:name w:val="Dark List Accent 2"/>
    <w:basedOn w:val="33"/>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8">
    <w:name w:val="Dark List Accent 3"/>
    <w:basedOn w:val="33"/>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9">
    <w:name w:val="Dark List Accent 4"/>
    <w:basedOn w:val="33"/>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0">
    <w:name w:val="Dark List Accent 5"/>
    <w:basedOn w:val="33"/>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1">
    <w:name w:val="Dark List Accent 6"/>
    <w:basedOn w:val="33"/>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2">
    <w:name w:val="Colorful Shading"/>
    <w:basedOn w:val="33"/>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1"/>
    <w:basedOn w:val="33"/>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2"/>
    <w:basedOn w:val="33"/>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5">
    <w:name w:val="Colorful Shading Accent 3"/>
    <w:basedOn w:val="33"/>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6">
    <w:name w:val="Colorful Shading Accent 4"/>
    <w:basedOn w:val="33"/>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5"/>
    <w:basedOn w:val="33"/>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Shading Accent 6"/>
    <w:basedOn w:val="33"/>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9">
    <w:name w:val="Colorful List"/>
    <w:basedOn w:val="33"/>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20">
    <w:name w:val="Colorful List Accent 1"/>
    <w:basedOn w:val="33"/>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1">
    <w:name w:val="Colorful List Accent 2"/>
    <w:basedOn w:val="33"/>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2">
    <w:name w:val="Colorful List Accent 3"/>
    <w:basedOn w:val="33"/>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3">
    <w:name w:val="Colorful List Accent 4"/>
    <w:basedOn w:val="33"/>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4">
    <w:name w:val="Colorful List Accent 5"/>
    <w:basedOn w:val="33"/>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5">
    <w:name w:val="Colorful List Accent 6"/>
    <w:basedOn w:val="33"/>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6">
    <w:name w:val="Colorful Grid"/>
    <w:basedOn w:val="33"/>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7">
    <w:name w:val="Colorful Grid Accent 1"/>
    <w:basedOn w:val="33"/>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8">
    <w:name w:val="Colorful Grid Accent 2"/>
    <w:basedOn w:val="33"/>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9">
    <w:name w:val="Colorful Grid Accent 3"/>
    <w:basedOn w:val="33"/>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0">
    <w:name w:val="Colorful Grid Accent 4"/>
    <w:basedOn w:val="33"/>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1">
    <w:name w:val="Colorful Grid Accent 5"/>
    <w:basedOn w:val="33"/>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2">
    <w:name w:val="Colorful Grid Accent 6"/>
    <w:basedOn w:val="33"/>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4">
    <w:name w:val="Strong"/>
    <w:basedOn w:val="133"/>
    <w:qFormat/>
    <w:uiPriority w:val="22"/>
    <w:rPr>
      <w:b/>
      <w:bCs/>
    </w:rPr>
  </w:style>
  <w:style w:type="character" w:styleId="135">
    <w:name w:val="Emphasis"/>
    <w:basedOn w:val="133"/>
    <w:qFormat/>
    <w:uiPriority w:val="20"/>
    <w:rPr>
      <w:i/>
      <w:iCs/>
    </w:rPr>
  </w:style>
  <w:style w:type="character" w:customStyle="1" w:styleId="136">
    <w:name w:val="Header Char"/>
    <w:basedOn w:val="133"/>
    <w:link w:val="25"/>
    <w:qFormat/>
    <w:uiPriority w:val="99"/>
  </w:style>
  <w:style w:type="character" w:customStyle="1" w:styleId="137">
    <w:name w:val="Footer Char"/>
    <w:basedOn w:val="133"/>
    <w:link w:val="24"/>
    <w:qFormat/>
    <w:uiPriority w:val="99"/>
  </w:style>
  <w:style w:type="paragraph" w:styleId="138">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9">
    <w:name w:val="Heading 1 Char"/>
    <w:basedOn w:val="133"/>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40">
    <w:name w:val="Heading 2 Char"/>
    <w:basedOn w:val="133"/>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1">
    <w:name w:val="Heading 3 Char"/>
    <w:basedOn w:val="133"/>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2">
    <w:name w:val="Title Char"/>
    <w:basedOn w:val="133"/>
    <w:link w:val="32"/>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3">
    <w:name w:val="Subtitle Char"/>
    <w:basedOn w:val="133"/>
    <w:link w:val="2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4">
    <w:name w:val="List Paragraph"/>
    <w:basedOn w:val="1"/>
    <w:qFormat/>
    <w:uiPriority w:val="34"/>
    <w:pPr>
      <w:ind w:left="720"/>
      <w:contextualSpacing/>
    </w:pPr>
  </w:style>
  <w:style w:type="character" w:customStyle="1" w:styleId="145">
    <w:name w:val="Body Text Char"/>
    <w:basedOn w:val="133"/>
    <w:link w:val="19"/>
    <w:qFormat/>
    <w:uiPriority w:val="99"/>
  </w:style>
  <w:style w:type="character" w:customStyle="1" w:styleId="146">
    <w:name w:val="Body Text 2 Char"/>
    <w:basedOn w:val="133"/>
    <w:link w:val="28"/>
    <w:qFormat/>
    <w:uiPriority w:val="99"/>
  </w:style>
  <w:style w:type="character" w:customStyle="1" w:styleId="147">
    <w:name w:val="Body Text 3 Char"/>
    <w:basedOn w:val="133"/>
    <w:link w:val="17"/>
    <w:qFormat/>
    <w:uiPriority w:val="99"/>
    <w:rPr>
      <w:sz w:val="16"/>
      <w:szCs w:val="16"/>
    </w:rPr>
  </w:style>
  <w:style w:type="character" w:customStyle="1" w:styleId="148">
    <w:name w:val="Macro Text Char"/>
    <w:basedOn w:val="133"/>
    <w:link w:val="2"/>
    <w:qFormat/>
    <w:uiPriority w:val="99"/>
    <w:rPr>
      <w:rFonts w:ascii="Courier" w:hAnsi="Courier"/>
      <w:sz w:val="20"/>
      <w:szCs w:val="20"/>
    </w:rPr>
  </w:style>
  <w:style w:type="paragraph" w:styleId="149">
    <w:name w:val="Quote"/>
    <w:basedOn w:val="1"/>
    <w:next w:val="1"/>
    <w:link w:val="150"/>
    <w:qFormat/>
    <w:uiPriority w:val="29"/>
    <w:rPr>
      <w:i/>
      <w:iCs/>
      <w:color w:val="000000" w:themeColor="text1"/>
      <w14:textFill>
        <w14:solidFill>
          <w14:schemeClr w14:val="tx1"/>
        </w14:solidFill>
      </w14:textFill>
    </w:rPr>
  </w:style>
  <w:style w:type="character" w:customStyle="1" w:styleId="150">
    <w:name w:val="Quote Char"/>
    <w:basedOn w:val="133"/>
    <w:link w:val="149"/>
    <w:qFormat/>
    <w:uiPriority w:val="29"/>
    <w:rPr>
      <w:i/>
      <w:iCs/>
      <w:color w:val="000000" w:themeColor="text1"/>
      <w14:textFill>
        <w14:solidFill>
          <w14:schemeClr w14:val="tx1"/>
        </w14:solidFill>
      </w14:textFill>
    </w:rPr>
  </w:style>
  <w:style w:type="character" w:customStyle="1" w:styleId="151">
    <w:name w:val="Heading 4 Char"/>
    <w:basedOn w:val="133"/>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2">
    <w:name w:val="Heading 5 Char"/>
    <w:basedOn w:val="133"/>
    <w:link w:val="7"/>
    <w:semiHidden/>
    <w:qFormat/>
    <w:uiPriority w:val="9"/>
    <w:rPr>
      <w:rFonts w:asciiTheme="majorHAnsi" w:hAnsiTheme="majorHAnsi" w:eastAsiaTheme="majorEastAsia" w:cstheme="majorBidi"/>
      <w:color w:val="254061" w:themeColor="accent1" w:themeShade="80"/>
    </w:rPr>
  </w:style>
  <w:style w:type="character" w:customStyle="1" w:styleId="153">
    <w:name w:val="Heading 6 Char"/>
    <w:basedOn w:val="133"/>
    <w:link w:val="8"/>
    <w:semiHidden/>
    <w:qFormat/>
    <w:uiPriority w:val="9"/>
    <w:rPr>
      <w:rFonts w:asciiTheme="majorHAnsi" w:hAnsiTheme="majorHAnsi" w:eastAsiaTheme="majorEastAsia" w:cstheme="majorBidi"/>
      <w:i/>
      <w:iCs/>
      <w:color w:val="254061" w:themeColor="accent1" w:themeShade="80"/>
    </w:rPr>
  </w:style>
  <w:style w:type="character" w:customStyle="1" w:styleId="154">
    <w:name w:val="Heading 7 Char"/>
    <w:basedOn w:val="133"/>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5">
    <w:name w:val="Heading 8 Char"/>
    <w:basedOn w:val="133"/>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6">
    <w:name w:val="Heading 9 Char"/>
    <w:basedOn w:val="133"/>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7">
    <w:name w:val="Intense Quote"/>
    <w:basedOn w:val="1"/>
    <w:next w:val="1"/>
    <w:link w:val="158"/>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8">
    <w:name w:val="Intense Quote Char"/>
    <w:basedOn w:val="133"/>
    <w:link w:val="157"/>
    <w:qFormat/>
    <w:uiPriority w:val="30"/>
    <w:rPr>
      <w:b/>
      <w:bCs/>
      <w:i/>
      <w:iCs/>
      <w:color w:val="4F81BD" w:themeColor="accent1"/>
      <w14:textFill>
        <w14:solidFill>
          <w14:schemeClr w14:val="accent1"/>
        </w14:solidFill>
      </w14:textFill>
    </w:rPr>
  </w:style>
  <w:style w:type="character" w:customStyle="1" w:styleId="159">
    <w:name w:val="Subtle Emphasis"/>
    <w:basedOn w:val="133"/>
    <w:qFormat/>
    <w:uiPriority w:val="19"/>
    <w:rPr>
      <w:i/>
      <w:iCs/>
      <w:color w:val="808080" w:themeColor="text1" w:themeTint="80"/>
      <w14:textFill>
        <w14:solidFill>
          <w14:schemeClr w14:val="tx1">
            <w14:lumMod w14:val="50000"/>
            <w14:lumOff w14:val="50000"/>
          </w14:schemeClr>
        </w14:solidFill>
      </w14:textFill>
    </w:rPr>
  </w:style>
  <w:style w:type="character" w:customStyle="1" w:styleId="160">
    <w:name w:val="Intense Emphasis"/>
    <w:basedOn w:val="133"/>
    <w:qFormat/>
    <w:uiPriority w:val="21"/>
    <w:rPr>
      <w:b/>
      <w:bCs/>
      <w:i/>
      <w:iCs/>
      <w:color w:val="4F81BD" w:themeColor="accent1"/>
      <w14:textFill>
        <w14:solidFill>
          <w14:schemeClr w14:val="accent1"/>
        </w14:solidFill>
      </w14:textFill>
    </w:rPr>
  </w:style>
  <w:style w:type="character" w:customStyle="1" w:styleId="161">
    <w:name w:val="Subtle Reference"/>
    <w:basedOn w:val="133"/>
    <w:qFormat/>
    <w:uiPriority w:val="31"/>
    <w:rPr>
      <w:smallCaps/>
      <w:color w:val="C0504D" w:themeColor="accent2"/>
      <w:u w:val="single"/>
      <w14:textFill>
        <w14:solidFill>
          <w14:schemeClr w14:val="accent2"/>
        </w14:solidFill>
      </w14:textFill>
    </w:rPr>
  </w:style>
  <w:style w:type="character" w:customStyle="1" w:styleId="162">
    <w:name w:val="Intense Reference"/>
    <w:basedOn w:val="133"/>
    <w:qFormat/>
    <w:uiPriority w:val="32"/>
    <w:rPr>
      <w:b/>
      <w:bCs/>
      <w:smallCaps/>
      <w:color w:val="C0504D" w:themeColor="accent2"/>
      <w:spacing w:val="5"/>
      <w:u w:val="single"/>
      <w14:textFill>
        <w14:solidFill>
          <w14:schemeClr w14:val="accent2"/>
        </w14:solidFill>
      </w14:textFill>
    </w:rPr>
  </w:style>
  <w:style w:type="character" w:customStyle="1" w:styleId="163">
    <w:name w:val="Book Title"/>
    <w:basedOn w:val="133"/>
    <w:qFormat/>
    <w:uiPriority w:val="33"/>
    <w:rPr>
      <w:b/>
      <w:bCs/>
      <w:smallCaps/>
      <w:spacing w:val="5"/>
    </w:rPr>
  </w:style>
  <w:style w:type="paragraph" w:customStyle="1" w:styleId="164">
    <w:name w:val="TOC Heading"/>
    <w:basedOn w:val="3"/>
    <w:next w:val="1"/>
    <w:semiHidden/>
    <w:unhideWhenUsed/>
    <w:qFormat/>
    <w:uiPriority w:val="39"/>
    <w:pPr>
      <w:outlineLvl w:val="9"/>
    </w:pPr>
  </w:style>
  <w:style w:type="paragraph" w:customStyle="1" w:styleId="165">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1583</Words>
  <Characters>1711</Characters>
  <Lines>0</Lines>
  <Paragraphs>0</Paragraphs>
  <TotalTime>10</TotalTime>
  <ScaleCrop>false</ScaleCrop>
  <LinksUpToDate>false</LinksUpToDate>
  <CharactersWithSpaces>1778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胡炬威</cp:lastModifiedBy>
  <dcterms:modified xsi:type="dcterms:W3CDTF">2026-04-03T08:31:11Z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eyJoZGlkIjoiYTc2YjgxY2Y0MjMzZmY1MzRhMWJjYzgzZGE2Y2NjMDUiLCJ1c2VySWQiOiIxNDczOTI2NzIxIn0=</vt:lpwstr>
  </property>
  <property fmtid="{D5CDD505-2E9C-101B-9397-08002B2CF9AE}" pid="3" name="KSOProductBuildVer">
    <vt:lpwstr>2052-12.1.0.24034</vt:lpwstr>
  </property>
  <property fmtid="{D5CDD505-2E9C-101B-9397-08002B2CF9AE}" pid="4" name="ICV">
    <vt:lpwstr>F0D861761DA940928186471F8CE3304E_13</vt:lpwstr>
  </property>
</Properties>
</file>